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09630371" w:rsidR="00514F67" w:rsidRPr="00355CB8" w:rsidRDefault="00027832"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s</w:t>
      </w:r>
      <w:r w:rsidR="00514F67">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34719F">
        <w:rPr>
          <w:rFonts w:ascii="Arial" w:eastAsia="MS Mincho" w:hAnsi="Arial" w:cs="Arial"/>
          <w:b/>
          <w:sz w:val="24"/>
          <w:szCs w:val="24"/>
          <w:lang w:val="en-US"/>
        </w:rPr>
        <w:t>0</w:t>
      </w:r>
      <w:r w:rsidR="00DB42CA">
        <w:rPr>
          <w:rFonts w:ascii="Arial" w:eastAsia="MS Mincho" w:hAnsi="Arial" w:cs="Arial"/>
          <w:b/>
          <w:sz w:val="24"/>
          <w:szCs w:val="24"/>
          <w:lang w:val="en-US"/>
        </w:rPr>
        <w:t>bis</w:t>
      </w:r>
      <w:r w:rsidR="00514F67" w:rsidRPr="00B61EF5">
        <w:rPr>
          <w:rFonts w:ascii="Arial" w:eastAsia="MS Mincho" w:hAnsi="Arial" w:cs="Arial"/>
          <w:b/>
          <w:sz w:val="24"/>
          <w:szCs w:val="24"/>
          <w:lang w:val="en-US"/>
        </w:rPr>
        <w:tab/>
      </w:r>
      <w:r w:rsidR="00514F67">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5C595A">
        <w:rPr>
          <w:rFonts w:ascii="Arial" w:eastAsia="MS Mincho" w:hAnsi="Arial" w:cs="Arial"/>
          <w:b/>
          <w:sz w:val="24"/>
          <w:szCs w:val="24"/>
          <w:lang w:val="en-US"/>
        </w:rPr>
        <w:t>0</w:t>
      </w:r>
      <w:r>
        <w:rPr>
          <w:rFonts w:ascii="Arial" w:eastAsia="MS Mincho" w:hAnsi="Arial" w:cs="Arial"/>
          <w:b/>
          <w:sz w:val="24"/>
          <w:szCs w:val="24"/>
          <w:lang w:val="en-US"/>
        </w:rPr>
        <w:t>4884</w:t>
      </w:r>
    </w:p>
    <w:p w14:paraId="58CE81B1" w14:textId="63BE7F71" w:rsidR="001E3B15" w:rsidRPr="005F5603" w:rsidRDefault="00E357E9" w:rsidP="001E3B15">
      <w:pPr>
        <w:pStyle w:val="a"/>
        <w:rPr>
          <w:rFonts w:eastAsia="SimSun"/>
          <w:bCs w:val="0"/>
          <w:sz w:val="24"/>
          <w:lang w:eastAsia="zh-CN"/>
        </w:rPr>
      </w:pPr>
      <w:r>
        <w:rPr>
          <w:rFonts w:eastAsia="SimSun" w:cs="Arial" w:hint="eastAsia"/>
          <w:sz w:val="24"/>
          <w:szCs w:val="24"/>
          <w:lang w:eastAsia="zh-CN"/>
        </w:rPr>
        <w:t>Changsha</w:t>
      </w:r>
      <w:r>
        <w:rPr>
          <w:rFonts w:eastAsia="SimSun" w:cs="Arial"/>
          <w:sz w:val="24"/>
          <w:szCs w:val="24"/>
          <w:lang w:eastAsia="zh-CN"/>
        </w:rPr>
        <w:t xml:space="preserve">, </w:t>
      </w:r>
      <w:r>
        <w:rPr>
          <w:rFonts w:eastAsia="SimSun" w:cs="Arial" w:hint="eastAsia"/>
          <w:sz w:val="24"/>
          <w:szCs w:val="24"/>
          <w:lang w:eastAsia="zh-CN"/>
        </w:rPr>
        <w:t>China</w:t>
      </w:r>
      <w:r>
        <w:rPr>
          <w:rFonts w:eastAsia="SimSun" w:cs="Arial"/>
          <w:sz w:val="24"/>
          <w:szCs w:val="24"/>
          <w:lang w:eastAsia="zh-CN"/>
        </w:rPr>
        <w:t xml:space="preserve">, </w:t>
      </w:r>
      <w:r>
        <w:rPr>
          <w:rFonts w:eastAsia="SimSun" w:cs="Arial" w:hint="eastAsia"/>
          <w:sz w:val="24"/>
          <w:szCs w:val="24"/>
          <w:lang w:eastAsia="zh-CN"/>
        </w:rPr>
        <w:t>15</w:t>
      </w:r>
      <w:r>
        <w:rPr>
          <w:rFonts w:eastAsia="SimSun" w:cs="Arial"/>
          <w:sz w:val="24"/>
          <w:szCs w:val="24"/>
          <w:lang w:eastAsia="zh-CN"/>
        </w:rPr>
        <w:t xml:space="preserve"> </w:t>
      </w:r>
      <w:r>
        <w:rPr>
          <w:rFonts w:eastAsia="SimSun" w:cs="Arial" w:hint="eastAsia"/>
          <w:sz w:val="24"/>
          <w:szCs w:val="24"/>
          <w:lang w:eastAsia="zh-CN"/>
        </w:rPr>
        <w:t>April</w:t>
      </w:r>
      <w:r>
        <w:rPr>
          <w:rFonts w:eastAsia="SimSun" w:cs="Arial"/>
          <w:sz w:val="24"/>
          <w:szCs w:val="24"/>
          <w:lang w:eastAsia="zh-CN"/>
        </w:rPr>
        <w:t xml:space="preserve"> – </w:t>
      </w:r>
      <w:r>
        <w:rPr>
          <w:rFonts w:eastAsia="SimSun" w:cs="Arial" w:hint="eastAsia"/>
          <w:sz w:val="24"/>
          <w:szCs w:val="24"/>
          <w:lang w:eastAsia="zh-CN"/>
        </w:rPr>
        <w:t>19</w:t>
      </w:r>
      <w:r>
        <w:rPr>
          <w:rFonts w:eastAsia="SimSun" w:cs="Arial"/>
          <w:sz w:val="24"/>
          <w:szCs w:val="24"/>
          <w:lang w:eastAsia="zh-CN"/>
        </w:rPr>
        <w:t xml:space="preserve"> </w:t>
      </w:r>
      <w:r>
        <w:rPr>
          <w:rFonts w:eastAsia="SimSun" w:cs="Arial" w:hint="eastAsia"/>
          <w:sz w:val="24"/>
          <w:szCs w:val="24"/>
          <w:lang w:eastAsia="zh-CN"/>
        </w:rPr>
        <w:t>April</w:t>
      </w:r>
      <w:r>
        <w:rPr>
          <w:rFonts w:eastAsia="SimSun" w:cs="Arial"/>
          <w:sz w:val="24"/>
          <w:szCs w:val="24"/>
          <w:lang w:eastAsia="zh-CN"/>
        </w:rPr>
        <w:t>, 2024</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7167F820"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47B52">
        <w:rPr>
          <w:rFonts w:ascii="Arial" w:hAnsi="Arial" w:cs="Arial"/>
          <w:b/>
          <w:sz w:val="22"/>
          <w:szCs w:val="22"/>
        </w:rPr>
        <w:t xml:space="preserve">Discussion on </w:t>
      </w:r>
      <w:r w:rsidR="00E17811">
        <w:rPr>
          <w:rFonts w:ascii="Arial" w:hAnsi="Arial" w:cs="Arial"/>
          <w:b/>
          <w:sz w:val="22"/>
          <w:szCs w:val="22"/>
        </w:rPr>
        <w:t>HPUE indication in band combination configuration tables</w:t>
      </w:r>
    </w:p>
    <w:p w14:paraId="7CF36F6C" w14:textId="3F26E9F7"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27832">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027832">
        <w:rPr>
          <w:rFonts w:ascii="Arial" w:hAnsi="Arial" w:cs="Arial"/>
          <w:color w:val="000000" w:themeColor="text1"/>
          <w:sz w:val="22"/>
          <w:szCs w:val="22"/>
        </w:rPr>
        <w:t>17</w:t>
      </w:r>
      <w:r w:rsidR="009C392C">
        <w:rPr>
          <w:rFonts w:ascii="Arial" w:hAnsi="Arial" w:cs="Arial"/>
          <w:color w:val="000000" w:themeColor="text1"/>
          <w:sz w:val="22"/>
          <w:szCs w:val="22"/>
        </w:rPr>
        <w:t>.</w:t>
      </w:r>
      <w:r w:rsidR="00027832">
        <w:rPr>
          <w:rFonts w:ascii="Arial" w:hAnsi="Arial" w:cs="Arial"/>
          <w:color w:val="000000" w:themeColor="text1"/>
          <w:sz w:val="22"/>
          <w:szCs w:val="22"/>
        </w:rPr>
        <w:t>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79653219" w:rsidR="00A64570" w:rsidRDefault="008064CC" w:rsidP="00514F67">
      <w:pPr>
        <w:rPr>
          <w:color w:val="000000" w:themeColor="text1"/>
          <w:lang w:eastAsia="zh-CN"/>
        </w:rPr>
      </w:pPr>
      <w:r>
        <w:rPr>
          <w:color w:val="000000" w:themeColor="text1"/>
          <w:lang w:eastAsia="zh-CN"/>
        </w:rPr>
        <w:t xml:space="preserve">In RAN4#110, a WF [1] was agreed on </w:t>
      </w:r>
      <w:r w:rsidR="00B20C87">
        <w:rPr>
          <w:color w:val="000000" w:themeColor="text1"/>
          <w:lang w:eastAsia="zh-CN"/>
        </w:rPr>
        <w:t>the issue of PC2 and PC1.5 indications in band combination (BC) configuration tables</w:t>
      </w:r>
      <w:r>
        <w:rPr>
          <w:color w:val="000000" w:themeColor="text1"/>
          <w:lang w:eastAsia="zh-CN"/>
        </w:rPr>
        <w:t>. In the sequel, we share our views.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176844" w14:textId="40425260" w:rsidR="0028732C" w:rsidRDefault="00AB3E90" w:rsidP="00AB3E90">
      <w:pPr>
        <w:pStyle w:val="Heading3"/>
      </w:pPr>
      <w:r>
        <w:t xml:space="preserve">2.1 </w:t>
      </w:r>
      <w:r w:rsidR="00E246FF">
        <w:t xml:space="preserve">HPUE indication for higher order inter-band DL BC </w:t>
      </w:r>
    </w:p>
    <w:p w14:paraId="13ADFBDC" w14:textId="20501557" w:rsidR="008064CC" w:rsidRDefault="00E246FF" w:rsidP="00D655A8">
      <w:r>
        <w:t>Three options are proposed as follows [1]:</w:t>
      </w:r>
    </w:p>
    <w:p w14:paraId="617E68B2" w14:textId="319BE37A" w:rsidR="007C2C93" w:rsidRDefault="007C2C93" w:rsidP="00D655A8">
      <w:r>
        <w:rPr>
          <w:noProof/>
        </w:rPr>
        <mc:AlternateContent>
          <mc:Choice Requires="wps">
            <w:drawing>
              <wp:inline distT="0" distB="0" distL="0" distR="0" wp14:anchorId="44729F4E" wp14:editId="274DF19C">
                <wp:extent cx="6073181" cy="3814233"/>
                <wp:effectExtent l="38100" t="38100" r="118110" b="1104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81" cy="3814233"/>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3B9A0120" w14:textId="77777777" w:rsidR="00E246FF" w:rsidRDefault="00E246FF" w:rsidP="00E246FF">
                            <w:pPr>
                              <w:spacing w:after="0"/>
                              <w:jc w:val="both"/>
                              <w:rPr>
                                <w:rFonts w:ascii="Arial" w:hAnsi="Arial" w:cs="Arial"/>
                                <w:b/>
                                <w:bCs/>
                                <w:i/>
                                <w:iCs/>
                              </w:rPr>
                            </w:pPr>
                            <w:r>
                              <w:rPr>
                                <w:rFonts w:ascii="Arial" w:hAnsi="Arial" w:cs="Arial"/>
                                <w:b/>
                                <w:bCs/>
                                <w:i/>
                                <w:iCs/>
                              </w:rPr>
                              <w:t xml:space="preserve">Proposal: </w:t>
                            </w:r>
                            <w:r w:rsidRPr="00E1296F">
                              <w:rPr>
                                <w:rFonts w:ascii="Arial" w:hAnsi="Arial" w:cs="Arial"/>
                                <w:i/>
                                <w:iCs/>
                              </w:rPr>
                              <w:t xml:space="preserve">Companies are encouraged to consider the following options for improving the HPUE introduction process for higher order </w:t>
                            </w:r>
                            <w:r>
                              <w:rPr>
                                <w:rFonts w:ascii="Arial" w:hAnsi="Arial" w:cs="Arial"/>
                                <w:i/>
                                <w:iCs/>
                              </w:rPr>
                              <w:t xml:space="preserve">inter-band DL </w:t>
                            </w:r>
                            <w:r w:rsidRPr="00E1296F">
                              <w:rPr>
                                <w:rFonts w:ascii="Arial" w:hAnsi="Arial" w:cs="Arial"/>
                                <w:i/>
                                <w:iCs/>
                              </w:rPr>
                              <w:t>combinations</w:t>
                            </w:r>
                          </w:p>
                          <w:p w14:paraId="1E2A09CF" w14:textId="77777777" w:rsidR="00E246FF" w:rsidRDefault="00E246FF" w:rsidP="00E246FF">
                            <w:pPr>
                              <w:spacing w:after="0"/>
                              <w:jc w:val="both"/>
                              <w:rPr>
                                <w:rFonts w:ascii="Arial" w:hAnsi="Arial" w:cs="Arial"/>
                                <w:b/>
                                <w:bCs/>
                                <w:i/>
                                <w:iCs/>
                              </w:rPr>
                            </w:pPr>
                          </w:p>
                          <w:p w14:paraId="4DC7143A" w14:textId="77777777" w:rsidR="00E246FF" w:rsidRDefault="00E246FF" w:rsidP="00E246FF">
                            <w:pPr>
                              <w:spacing w:after="0"/>
                              <w:ind w:left="284"/>
                              <w:jc w:val="both"/>
                              <w:rPr>
                                <w:rFonts w:ascii="Arial" w:hAnsi="Arial" w:cs="Arial"/>
                                <w:b/>
                                <w:bCs/>
                                <w:i/>
                                <w:iCs/>
                              </w:rPr>
                            </w:pPr>
                            <w:r>
                              <w:rPr>
                                <w:rFonts w:ascii="Arial" w:hAnsi="Arial" w:cs="Arial"/>
                                <w:b/>
                                <w:bCs/>
                                <w:i/>
                                <w:iCs/>
                              </w:rPr>
                              <w:t xml:space="preserve">Option 1: </w:t>
                            </w:r>
                            <w:r w:rsidRPr="00761BA1">
                              <w:rPr>
                                <w:rFonts w:ascii="Arial" w:hAnsi="Arial" w:cs="Arial"/>
                                <w:i/>
                                <w:iCs/>
                              </w:rPr>
                              <w:t>Introduce a general note</w:t>
                            </w:r>
                            <w:r>
                              <w:rPr>
                                <w:rFonts w:ascii="Arial" w:hAnsi="Arial" w:cs="Arial"/>
                                <w:i/>
                                <w:iCs/>
                              </w:rPr>
                              <w:t>.</w:t>
                            </w:r>
                          </w:p>
                          <w:p w14:paraId="695FE097" w14:textId="77777777" w:rsidR="00E246FF" w:rsidRDefault="00E246FF" w:rsidP="00E246FF">
                            <w:pPr>
                              <w:spacing w:after="0"/>
                              <w:ind w:left="288"/>
                              <w:jc w:val="both"/>
                              <w:rPr>
                                <w:rFonts w:ascii="Arial" w:hAnsi="Arial" w:cs="Arial"/>
                                <w:b/>
                                <w:bCs/>
                                <w:i/>
                                <w:iCs/>
                              </w:rPr>
                            </w:pPr>
                          </w:p>
                          <w:p w14:paraId="1E37F3CC" w14:textId="77777777" w:rsidR="00E246FF" w:rsidRPr="00E1296F" w:rsidRDefault="00E246FF" w:rsidP="00E246FF">
                            <w:pPr>
                              <w:pStyle w:val="ListParagraph"/>
                              <w:numPr>
                                <w:ilvl w:val="0"/>
                                <w:numId w:val="19"/>
                              </w:numPr>
                              <w:spacing w:after="120"/>
                              <w:contextualSpacing w:val="0"/>
                              <w:jc w:val="both"/>
                              <w:rPr>
                                <w:rFonts w:ascii="Arial" w:hAnsi="Arial" w:cs="Arial"/>
                                <w:b/>
                                <w:bCs/>
                                <w:i/>
                                <w:iCs/>
                              </w:rPr>
                            </w:pPr>
                            <w:r w:rsidRPr="00E1296F">
                              <w:rPr>
                                <w:rFonts w:ascii="Arial" w:hAnsi="Arial" w:cs="Arial"/>
                                <w:i/>
                                <w:iCs/>
                                <w:lang w:val="en-US"/>
                              </w:rPr>
                              <w:t xml:space="preserve">For single band UL in higher order DL CA combinations, introduce a general note for 3 or more band DL CA configurations stating that “PC2 or PC1.5 for single UL can be supported if it has been specified in all the fallback combinations”. </w:t>
                            </w:r>
                          </w:p>
                          <w:p w14:paraId="6390A503" w14:textId="77777777" w:rsidR="00E246FF" w:rsidRPr="00E1296F" w:rsidRDefault="00E246FF" w:rsidP="00E246FF">
                            <w:pPr>
                              <w:pStyle w:val="ListParagraph"/>
                              <w:numPr>
                                <w:ilvl w:val="0"/>
                                <w:numId w:val="19"/>
                              </w:numPr>
                              <w:spacing w:after="0"/>
                              <w:contextualSpacing w:val="0"/>
                              <w:jc w:val="both"/>
                              <w:rPr>
                                <w:rFonts w:ascii="Arial" w:hAnsi="Arial" w:cs="Arial"/>
                                <w:b/>
                                <w:bCs/>
                                <w:i/>
                                <w:iCs/>
                              </w:rPr>
                            </w:pPr>
                            <w:r w:rsidRPr="00E1296F">
                              <w:rPr>
                                <w:rFonts w:ascii="Arial" w:hAnsi="Arial" w:cs="Arial"/>
                                <w:i/>
                                <w:iCs/>
                                <w:lang w:val="en-US"/>
                              </w:rPr>
                              <w:t>For 2UL HPUE indication in higher order combinations, introduce a general note for 4 or more band DL CA configurations stating that “PC2 for 2-band UL can be supported if it has been specified in all the fallback combinations”.</w:t>
                            </w:r>
                          </w:p>
                          <w:p w14:paraId="3F173E01" w14:textId="77777777" w:rsidR="00E246FF" w:rsidRDefault="00E246FF" w:rsidP="00E246FF">
                            <w:pPr>
                              <w:spacing w:after="0"/>
                              <w:jc w:val="both"/>
                              <w:rPr>
                                <w:rFonts w:ascii="Arial" w:hAnsi="Arial" w:cs="Arial"/>
                                <w:b/>
                                <w:bCs/>
                                <w:i/>
                                <w:iCs/>
                              </w:rPr>
                            </w:pPr>
                          </w:p>
                          <w:p w14:paraId="79B28500" w14:textId="77777777" w:rsidR="00E246FF" w:rsidRDefault="00E246FF" w:rsidP="00E246FF">
                            <w:pPr>
                              <w:spacing w:after="120"/>
                              <w:ind w:left="284"/>
                              <w:jc w:val="both"/>
                              <w:rPr>
                                <w:rFonts w:ascii="Arial" w:hAnsi="Arial" w:cs="Arial"/>
                                <w:i/>
                                <w:iCs/>
                                <w:lang w:val="en-US"/>
                              </w:rPr>
                            </w:pPr>
                            <w:r>
                              <w:rPr>
                                <w:rFonts w:ascii="Arial" w:hAnsi="Arial" w:cs="Arial"/>
                                <w:b/>
                                <w:bCs/>
                                <w:i/>
                                <w:iCs/>
                              </w:rPr>
                              <w:t>Option 2</w:t>
                            </w:r>
                            <w:r w:rsidRPr="002B5A2A">
                              <w:rPr>
                                <w:rFonts w:ascii="Arial" w:hAnsi="Arial" w:cs="Arial"/>
                                <w:i/>
                                <w:iCs/>
                              </w:rPr>
                              <w:t xml:space="preserve">: </w:t>
                            </w:r>
                            <w:r>
                              <w:rPr>
                                <w:rFonts w:ascii="Arial" w:hAnsi="Arial" w:cs="Arial"/>
                                <w:i/>
                                <w:iCs/>
                                <w:lang w:val="en-US"/>
                              </w:rPr>
                              <w:t xml:space="preserve">Maintain the current PC2/PC1.5 introduction process with explicit notes and encourage proponent companies for higher order inter-band DL combinations to promptly complete the PC2/PC1.5 note additions if they have been specified for all the fallback combinations.  </w:t>
                            </w:r>
                          </w:p>
                          <w:p w14:paraId="50A54CA2" w14:textId="77777777" w:rsidR="00E246FF" w:rsidRPr="00D033A7" w:rsidRDefault="00E246FF" w:rsidP="00E246FF">
                            <w:pPr>
                              <w:spacing w:after="120"/>
                              <w:ind w:left="284"/>
                              <w:rPr>
                                <w:rFonts w:ascii="Arial" w:hAnsi="Arial" w:cs="Arial"/>
                                <w:i/>
                                <w:iCs/>
                                <w:lang w:val="en-US"/>
                              </w:rPr>
                            </w:pPr>
                            <w:r w:rsidRPr="00105F03">
                              <w:rPr>
                                <w:rFonts w:ascii="Arial" w:hAnsi="Arial" w:cs="Arial"/>
                                <w:b/>
                                <w:bCs/>
                                <w:i/>
                                <w:iCs/>
                                <w:color w:val="FF0000"/>
                                <w:lang w:val="en-US"/>
                              </w:rPr>
                              <w:t>Option 3</w:t>
                            </w:r>
                            <w:r w:rsidRPr="00105F03">
                              <w:rPr>
                                <w:rFonts w:ascii="Arial" w:hAnsi="Arial" w:cs="Arial"/>
                                <w:i/>
                                <w:iCs/>
                                <w:color w:val="FF0000"/>
                                <w:lang w:val="en-US"/>
                              </w:rPr>
                              <w:t xml:space="preserve">: </w:t>
                            </w:r>
                            <w:r>
                              <w:rPr>
                                <w:rFonts w:ascii="Arial" w:hAnsi="Arial" w:cs="Arial"/>
                                <w:i/>
                                <w:iCs/>
                                <w:color w:val="FF0000"/>
                                <w:lang w:val="en-US"/>
                              </w:rPr>
                              <w:t xml:space="preserve">for single band UL in higher order DL combinations, a general note for [2] or more DL CA configurations </w:t>
                            </w:r>
                            <w:r w:rsidRPr="00E1296F">
                              <w:rPr>
                                <w:rFonts w:ascii="Arial" w:hAnsi="Arial" w:cs="Arial"/>
                                <w:i/>
                                <w:iCs/>
                                <w:lang w:val="en-US"/>
                              </w:rPr>
                              <w:t xml:space="preserve">stating that PC2 or PC1.5 for single UL can be supported </w:t>
                            </w:r>
                            <w:r>
                              <w:rPr>
                                <w:rFonts w:ascii="Arial" w:hAnsi="Arial" w:cs="Arial"/>
                                <w:i/>
                                <w:iCs/>
                                <w:lang w:val="en-US"/>
                              </w:rPr>
                              <w:t xml:space="preserve">also </w:t>
                            </w:r>
                            <w:r w:rsidRPr="00D033A7">
                              <w:rPr>
                                <w:rFonts w:ascii="Arial" w:hAnsi="Arial" w:cs="Arial"/>
                                <w:i/>
                                <w:iCs/>
                                <w:lang w:val="en-US"/>
                              </w:rPr>
                              <w:t>if the UE complies</w:t>
                            </w:r>
                            <w:r>
                              <w:rPr>
                                <w:rFonts w:ascii="Arial" w:hAnsi="Arial" w:cs="Arial"/>
                                <w:i/>
                                <w:iCs/>
                                <w:lang w:val="en-US"/>
                              </w:rPr>
                              <w:t xml:space="preserve"> with</w:t>
                            </w:r>
                          </w:p>
                          <w:p w14:paraId="7079B199" w14:textId="77777777" w:rsidR="00E246FF" w:rsidRPr="00D033A7" w:rsidRDefault="00E246FF" w:rsidP="00E246FF">
                            <w:pPr>
                              <w:spacing w:after="120"/>
                              <w:ind w:left="284"/>
                              <w:rPr>
                                <w:rFonts w:ascii="Arial" w:hAnsi="Arial" w:cs="Arial"/>
                                <w:i/>
                                <w:iCs/>
                                <w:lang w:val="en-US"/>
                              </w:rPr>
                            </w:pPr>
                            <w:r w:rsidRPr="00D033A7">
                              <w:rPr>
                                <w:rFonts w:ascii="Arial" w:hAnsi="Arial" w:cs="Arial"/>
                                <w:i/>
                                <w:iCs/>
                                <w:lang w:val="en-US"/>
                              </w:rPr>
                              <w:t>•</w:t>
                            </w:r>
                            <w:r w:rsidRPr="00D033A7">
                              <w:rPr>
                                <w:rFonts w:ascii="Arial" w:hAnsi="Arial" w:cs="Arial"/>
                                <w:i/>
                                <w:iCs/>
                                <w:lang w:val="en-US"/>
                              </w:rPr>
                              <w:tab/>
                              <w:t>an allowed exception for an UL/DL configuration corresponding to the</w:t>
                            </w:r>
                            <w:r>
                              <w:rPr>
                                <w:rFonts w:ascii="Arial" w:hAnsi="Arial" w:cs="Arial"/>
                                <w:i/>
                                <w:iCs/>
                                <w:lang w:val="en-US"/>
                              </w:rPr>
                              <w:t xml:space="preserve"> DL CA </w:t>
                            </w:r>
                            <w:r w:rsidRPr="00D033A7">
                              <w:rPr>
                                <w:rFonts w:ascii="Arial" w:hAnsi="Arial" w:cs="Arial"/>
                                <w:i/>
                                <w:iCs/>
                                <w:lang w:val="en-US"/>
                              </w:rPr>
                              <w:t>configuration with the UL power limited to that of a lower power class e.g. PC2 or PC3 for which an exception is specified</w:t>
                            </w:r>
                            <w:r>
                              <w:rPr>
                                <w:rFonts w:ascii="Arial" w:hAnsi="Arial" w:cs="Arial"/>
                                <w:i/>
                                <w:iCs/>
                                <w:lang w:val="en-US"/>
                              </w:rPr>
                              <w:t xml:space="preserve"> or</w:t>
                            </w:r>
                          </w:p>
                          <w:p w14:paraId="079F371E" w14:textId="77777777" w:rsidR="00E246FF" w:rsidRDefault="00E246FF" w:rsidP="00E246FF">
                            <w:pPr>
                              <w:spacing w:after="120"/>
                              <w:ind w:left="284"/>
                              <w:rPr>
                                <w:rFonts w:ascii="Arial" w:hAnsi="Arial" w:cs="Arial"/>
                                <w:i/>
                                <w:iCs/>
                                <w:lang w:val="en-US"/>
                              </w:rPr>
                            </w:pPr>
                            <w:r w:rsidRPr="00D033A7">
                              <w:rPr>
                                <w:rFonts w:ascii="Arial" w:hAnsi="Arial" w:cs="Arial"/>
                                <w:i/>
                                <w:iCs/>
                                <w:lang w:val="en-US"/>
                              </w:rPr>
                              <w:t>•</w:t>
                            </w:r>
                            <w:r w:rsidRPr="00D033A7">
                              <w:rPr>
                                <w:rFonts w:ascii="Arial" w:hAnsi="Arial" w:cs="Arial"/>
                                <w:i/>
                                <w:iCs/>
                                <w:lang w:val="en-US"/>
                              </w:rPr>
                              <w:tab/>
                            </w:r>
                            <w:r>
                              <w:rPr>
                                <w:rFonts w:ascii="Arial" w:hAnsi="Arial" w:cs="Arial"/>
                                <w:i/>
                                <w:iCs/>
                                <w:lang w:val="en-US"/>
                              </w:rPr>
                              <w:t>t</w:t>
                            </w:r>
                            <w:r w:rsidRPr="00D033A7">
                              <w:rPr>
                                <w:rFonts w:ascii="Arial" w:hAnsi="Arial" w:cs="Arial"/>
                                <w:i/>
                                <w:iCs/>
                                <w:lang w:val="en-US"/>
                              </w:rPr>
                              <w:t xml:space="preserve">he standard CA REFSENS requirement also for the higher power class </w:t>
                            </w:r>
                            <w:r>
                              <w:rPr>
                                <w:rFonts w:ascii="Arial" w:hAnsi="Arial" w:cs="Arial"/>
                                <w:i/>
                                <w:iCs/>
                                <w:lang w:val="en-US"/>
                              </w:rPr>
                              <w:t>PC2/</w:t>
                            </w:r>
                            <w:r w:rsidRPr="00D033A7">
                              <w:rPr>
                                <w:rFonts w:ascii="Arial" w:hAnsi="Arial" w:cs="Arial"/>
                                <w:i/>
                                <w:iCs/>
                                <w:lang w:val="en-US"/>
                              </w:rPr>
                              <w:t>PC1.5 irrespective of any allowed exception</w:t>
                            </w:r>
                          </w:p>
                          <w:p w14:paraId="1FC3B24C" w14:textId="23136F1A" w:rsidR="00E246FF" w:rsidRPr="00E246FF" w:rsidRDefault="00E246FF" w:rsidP="007C2C93">
                            <w:pPr>
                              <w:rPr>
                                <w:lang w:val="en-US"/>
                              </w:rPr>
                            </w:pPr>
                          </w:p>
                        </w:txbxContent>
                      </wps:txbx>
                      <wps:bodyPr rot="0" vert="horz" wrap="square" lIns="91440" tIns="45720" rIns="91440" bIns="45720" anchor="t" anchorCtr="0">
                        <a:noAutofit/>
                      </wps:bodyPr>
                    </wps:wsp>
                  </a:graphicData>
                </a:graphic>
              </wp:inline>
            </w:drawing>
          </mc:Choice>
          <mc:Fallback>
            <w:pict>
              <v:shapetype w14:anchorId="44729F4E" id="_x0000_t202" coordsize="21600,21600" o:spt="202" path="m,l,21600r21600,l21600,xe">
                <v:stroke joinstyle="miter"/>
                <v:path gradientshapeok="t" o:connecttype="rect"/>
              </v:shapetype>
              <v:shape id="Text Box 2" o:spid="_x0000_s1026" type="#_x0000_t202" style="width:478.2pt;height:30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">
                <v:shadow on="t" color="black" opacity="26214f" origin="-.5,-.5" offset=".74836mm,.74836mm"/>
                <v:textbox>
                  <w:txbxContent>
                    <w:p w14:paraId="3B9A0120" w14:textId="77777777" w:rsidR="00E246FF" w:rsidRDefault="00E246FF" w:rsidP="00E246FF">
                      <w:pPr>
                        <w:spacing w:after="0"/>
                        <w:jc w:val="both"/>
                        <w:rPr>
                          <w:rFonts w:ascii="Arial" w:hAnsi="Arial" w:cs="Arial"/>
                          <w:b/>
                          <w:bCs/>
                          <w:i/>
                          <w:iCs/>
                        </w:rPr>
                      </w:pPr>
                      <w:r>
                        <w:rPr>
                          <w:rFonts w:ascii="Arial" w:hAnsi="Arial" w:cs="Arial"/>
                          <w:b/>
                          <w:bCs/>
                          <w:i/>
                          <w:iCs/>
                        </w:rPr>
                        <w:t xml:space="preserve">Proposal: </w:t>
                      </w:r>
                      <w:r w:rsidRPr="00E1296F">
                        <w:rPr>
                          <w:rFonts w:ascii="Arial" w:hAnsi="Arial" w:cs="Arial"/>
                          <w:i/>
                          <w:iCs/>
                        </w:rPr>
                        <w:t xml:space="preserve">Companies are encouraged to consider the following options for improving the HPUE introduction process for higher order </w:t>
                      </w:r>
                      <w:r>
                        <w:rPr>
                          <w:rFonts w:ascii="Arial" w:hAnsi="Arial" w:cs="Arial"/>
                          <w:i/>
                          <w:iCs/>
                        </w:rPr>
                        <w:t xml:space="preserve">inter-band DL </w:t>
                      </w:r>
                      <w:r w:rsidRPr="00E1296F">
                        <w:rPr>
                          <w:rFonts w:ascii="Arial" w:hAnsi="Arial" w:cs="Arial"/>
                          <w:i/>
                          <w:iCs/>
                        </w:rPr>
                        <w:t>combinations</w:t>
                      </w:r>
                    </w:p>
                    <w:p w14:paraId="1E2A09CF" w14:textId="77777777" w:rsidR="00E246FF" w:rsidRDefault="00E246FF" w:rsidP="00E246FF">
                      <w:pPr>
                        <w:spacing w:after="0"/>
                        <w:jc w:val="both"/>
                        <w:rPr>
                          <w:rFonts w:ascii="Arial" w:hAnsi="Arial" w:cs="Arial"/>
                          <w:b/>
                          <w:bCs/>
                          <w:i/>
                          <w:iCs/>
                        </w:rPr>
                      </w:pPr>
                    </w:p>
                    <w:p w14:paraId="4DC7143A" w14:textId="77777777" w:rsidR="00E246FF" w:rsidRDefault="00E246FF" w:rsidP="00E246FF">
                      <w:pPr>
                        <w:spacing w:after="0"/>
                        <w:ind w:left="284"/>
                        <w:jc w:val="both"/>
                        <w:rPr>
                          <w:rFonts w:ascii="Arial" w:hAnsi="Arial" w:cs="Arial"/>
                          <w:b/>
                          <w:bCs/>
                          <w:i/>
                          <w:iCs/>
                        </w:rPr>
                      </w:pPr>
                      <w:r>
                        <w:rPr>
                          <w:rFonts w:ascii="Arial" w:hAnsi="Arial" w:cs="Arial"/>
                          <w:b/>
                          <w:bCs/>
                          <w:i/>
                          <w:iCs/>
                        </w:rPr>
                        <w:t xml:space="preserve">Option 1: </w:t>
                      </w:r>
                      <w:r w:rsidRPr="00761BA1">
                        <w:rPr>
                          <w:rFonts w:ascii="Arial" w:hAnsi="Arial" w:cs="Arial"/>
                          <w:i/>
                          <w:iCs/>
                        </w:rPr>
                        <w:t>Introduce a general note</w:t>
                      </w:r>
                      <w:r>
                        <w:rPr>
                          <w:rFonts w:ascii="Arial" w:hAnsi="Arial" w:cs="Arial"/>
                          <w:i/>
                          <w:iCs/>
                        </w:rPr>
                        <w:t>.</w:t>
                      </w:r>
                    </w:p>
                    <w:p w14:paraId="695FE097" w14:textId="77777777" w:rsidR="00E246FF" w:rsidRDefault="00E246FF" w:rsidP="00E246FF">
                      <w:pPr>
                        <w:spacing w:after="0"/>
                        <w:ind w:left="288"/>
                        <w:jc w:val="both"/>
                        <w:rPr>
                          <w:rFonts w:ascii="Arial" w:hAnsi="Arial" w:cs="Arial"/>
                          <w:b/>
                          <w:bCs/>
                          <w:i/>
                          <w:iCs/>
                        </w:rPr>
                      </w:pPr>
                    </w:p>
                    <w:p w14:paraId="1E37F3CC" w14:textId="77777777" w:rsidR="00E246FF" w:rsidRPr="00E1296F" w:rsidRDefault="00E246FF" w:rsidP="00E246FF">
                      <w:pPr>
                        <w:pStyle w:val="ListParagraph"/>
                        <w:numPr>
                          <w:ilvl w:val="0"/>
                          <w:numId w:val="19"/>
                        </w:numPr>
                        <w:spacing w:after="120"/>
                        <w:contextualSpacing w:val="0"/>
                        <w:jc w:val="both"/>
                        <w:rPr>
                          <w:rFonts w:ascii="Arial" w:hAnsi="Arial" w:cs="Arial"/>
                          <w:b/>
                          <w:bCs/>
                          <w:i/>
                          <w:iCs/>
                        </w:rPr>
                      </w:pPr>
                      <w:r w:rsidRPr="00E1296F">
                        <w:rPr>
                          <w:rFonts w:ascii="Arial" w:hAnsi="Arial" w:cs="Arial"/>
                          <w:i/>
                          <w:iCs/>
                          <w:lang w:val="en-US"/>
                        </w:rPr>
                        <w:t xml:space="preserve">For single band UL in higher order DL CA combinations, introduce a general note for 3 or more band DL CA configurations stating that “PC2 or PC1.5 for single UL can be supported if it has been specified in all the fallback combinations”. </w:t>
                      </w:r>
                    </w:p>
                    <w:p w14:paraId="6390A503" w14:textId="77777777" w:rsidR="00E246FF" w:rsidRPr="00E1296F" w:rsidRDefault="00E246FF" w:rsidP="00E246FF">
                      <w:pPr>
                        <w:pStyle w:val="ListParagraph"/>
                        <w:numPr>
                          <w:ilvl w:val="0"/>
                          <w:numId w:val="19"/>
                        </w:numPr>
                        <w:spacing w:after="0"/>
                        <w:contextualSpacing w:val="0"/>
                        <w:jc w:val="both"/>
                        <w:rPr>
                          <w:rFonts w:ascii="Arial" w:hAnsi="Arial" w:cs="Arial"/>
                          <w:b/>
                          <w:bCs/>
                          <w:i/>
                          <w:iCs/>
                        </w:rPr>
                      </w:pPr>
                      <w:r w:rsidRPr="00E1296F">
                        <w:rPr>
                          <w:rFonts w:ascii="Arial" w:hAnsi="Arial" w:cs="Arial"/>
                          <w:i/>
                          <w:iCs/>
                          <w:lang w:val="en-US"/>
                        </w:rPr>
                        <w:t>For 2UL HPUE indication in higher order combinations, introduce a general note for 4 or more band DL CA configurations stating that “PC2 for 2-band UL can be supported if it has been specified in all the fallback combinations”.</w:t>
                      </w:r>
                    </w:p>
                    <w:p w14:paraId="3F173E01" w14:textId="77777777" w:rsidR="00E246FF" w:rsidRDefault="00E246FF" w:rsidP="00E246FF">
                      <w:pPr>
                        <w:spacing w:after="0"/>
                        <w:jc w:val="both"/>
                        <w:rPr>
                          <w:rFonts w:ascii="Arial" w:hAnsi="Arial" w:cs="Arial"/>
                          <w:b/>
                          <w:bCs/>
                          <w:i/>
                          <w:iCs/>
                        </w:rPr>
                      </w:pPr>
                    </w:p>
                    <w:p w14:paraId="79B28500" w14:textId="77777777" w:rsidR="00E246FF" w:rsidRDefault="00E246FF" w:rsidP="00E246FF">
                      <w:pPr>
                        <w:spacing w:after="120"/>
                        <w:ind w:left="284"/>
                        <w:jc w:val="both"/>
                        <w:rPr>
                          <w:rFonts w:ascii="Arial" w:hAnsi="Arial" w:cs="Arial"/>
                          <w:i/>
                          <w:iCs/>
                          <w:lang w:val="en-US"/>
                        </w:rPr>
                      </w:pPr>
                      <w:r>
                        <w:rPr>
                          <w:rFonts w:ascii="Arial" w:hAnsi="Arial" w:cs="Arial"/>
                          <w:b/>
                          <w:bCs/>
                          <w:i/>
                          <w:iCs/>
                        </w:rPr>
                        <w:t>Option 2</w:t>
                      </w:r>
                      <w:r w:rsidRPr="002B5A2A">
                        <w:rPr>
                          <w:rFonts w:ascii="Arial" w:hAnsi="Arial" w:cs="Arial"/>
                          <w:i/>
                          <w:iCs/>
                        </w:rPr>
                        <w:t xml:space="preserve">: </w:t>
                      </w:r>
                      <w:r>
                        <w:rPr>
                          <w:rFonts w:ascii="Arial" w:hAnsi="Arial" w:cs="Arial"/>
                          <w:i/>
                          <w:iCs/>
                          <w:lang w:val="en-US"/>
                        </w:rPr>
                        <w:t xml:space="preserve">Maintain the current PC2/PC1.5 introduction process with explicit notes and encourage proponent companies for higher order inter-band DL combinations to promptly complete the PC2/PC1.5 note additions if they have been specified for all the fallback combinations.  </w:t>
                      </w:r>
                    </w:p>
                    <w:p w14:paraId="50A54CA2" w14:textId="77777777" w:rsidR="00E246FF" w:rsidRPr="00D033A7" w:rsidRDefault="00E246FF" w:rsidP="00E246FF">
                      <w:pPr>
                        <w:spacing w:after="120"/>
                        <w:ind w:left="284"/>
                        <w:rPr>
                          <w:rFonts w:ascii="Arial" w:hAnsi="Arial" w:cs="Arial"/>
                          <w:i/>
                          <w:iCs/>
                          <w:lang w:val="en-US"/>
                        </w:rPr>
                      </w:pPr>
                      <w:r w:rsidRPr="00105F03">
                        <w:rPr>
                          <w:rFonts w:ascii="Arial" w:hAnsi="Arial" w:cs="Arial"/>
                          <w:b/>
                          <w:bCs/>
                          <w:i/>
                          <w:iCs/>
                          <w:color w:val="FF0000"/>
                          <w:lang w:val="en-US"/>
                        </w:rPr>
                        <w:t>Option 3</w:t>
                      </w:r>
                      <w:r w:rsidRPr="00105F03">
                        <w:rPr>
                          <w:rFonts w:ascii="Arial" w:hAnsi="Arial" w:cs="Arial"/>
                          <w:i/>
                          <w:iCs/>
                          <w:color w:val="FF0000"/>
                          <w:lang w:val="en-US"/>
                        </w:rPr>
                        <w:t xml:space="preserve">: </w:t>
                      </w:r>
                      <w:r>
                        <w:rPr>
                          <w:rFonts w:ascii="Arial" w:hAnsi="Arial" w:cs="Arial"/>
                          <w:i/>
                          <w:iCs/>
                          <w:color w:val="FF0000"/>
                          <w:lang w:val="en-US"/>
                        </w:rPr>
                        <w:t xml:space="preserve">for single band UL in higher order DL combinations, a general note for [2] or more DL CA configurations </w:t>
                      </w:r>
                      <w:r w:rsidRPr="00E1296F">
                        <w:rPr>
                          <w:rFonts w:ascii="Arial" w:hAnsi="Arial" w:cs="Arial"/>
                          <w:i/>
                          <w:iCs/>
                          <w:lang w:val="en-US"/>
                        </w:rPr>
                        <w:t xml:space="preserve">stating that PC2 or PC1.5 for single UL can be supported </w:t>
                      </w:r>
                      <w:r>
                        <w:rPr>
                          <w:rFonts w:ascii="Arial" w:hAnsi="Arial" w:cs="Arial"/>
                          <w:i/>
                          <w:iCs/>
                          <w:lang w:val="en-US"/>
                        </w:rPr>
                        <w:t xml:space="preserve">also </w:t>
                      </w:r>
                      <w:r w:rsidRPr="00D033A7">
                        <w:rPr>
                          <w:rFonts w:ascii="Arial" w:hAnsi="Arial" w:cs="Arial"/>
                          <w:i/>
                          <w:iCs/>
                          <w:lang w:val="en-US"/>
                        </w:rPr>
                        <w:t>if the UE complies</w:t>
                      </w:r>
                      <w:r>
                        <w:rPr>
                          <w:rFonts w:ascii="Arial" w:hAnsi="Arial" w:cs="Arial"/>
                          <w:i/>
                          <w:iCs/>
                          <w:lang w:val="en-US"/>
                        </w:rPr>
                        <w:t xml:space="preserve"> with</w:t>
                      </w:r>
                    </w:p>
                    <w:p w14:paraId="7079B199" w14:textId="77777777" w:rsidR="00E246FF" w:rsidRPr="00D033A7" w:rsidRDefault="00E246FF" w:rsidP="00E246FF">
                      <w:pPr>
                        <w:spacing w:after="120"/>
                        <w:ind w:left="284"/>
                        <w:rPr>
                          <w:rFonts w:ascii="Arial" w:hAnsi="Arial" w:cs="Arial"/>
                          <w:i/>
                          <w:iCs/>
                          <w:lang w:val="en-US"/>
                        </w:rPr>
                      </w:pPr>
                      <w:r w:rsidRPr="00D033A7">
                        <w:rPr>
                          <w:rFonts w:ascii="Arial" w:hAnsi="Arial" w:cs="Arial"/>
                          <w:i/>
                          <w:iCs/>
                          <w:lang w:val="en-US"/>
                        </w:rPr>
                        <w:t>•</w:t>
                      </w:r>
                      <w:r w:rsidRPr="00D033A7">
                        <w:rPr>
                          <w:rFonts w:ascii="Arial" w:hAnsi="Arial" w:cs="Arial"/>
                          <w:i/>
                          <w:iCs/>
                          <w:lang w:val="en-US"/>
                        </w:rPr>
                        <w:tab/>
                        <w:t>an allowed exception for an UL/DL configuration corresponding to the</w:t>
                      </w:r>
                      <w:r>
                        <w:rPr>
                          <w:rFonts w:ascii="Arial" w:hAnsi="Arial" w:cs="Arial"/>
                          <w:i/>
                          <w:iCs/>
                          <w:lang w:val="en-US"/>
                        </w:rPr>
                        <w:t xml:space="preserve"> DL CA </w:t>
                      </w:r>
                      <w:r w:rsidRPr="00D033A7">
                        <w:rPr>
                          <w:rFonts w:ascii="Arial" w:hAnsi="Arial" w:cs="Arial"/>
                          <w:i/>
                          <w:iCs/>
                          <w:lang w:val="en-US"/>
                        </w:rPr>
                        <w:t>configuration with the UL power limited to that of a lower power class e.g. PC2 or PC3 for which an exception is specified</w:t>
                      </w:r>
                      <w:r>
                        <w:rPr>
                          <w:rFonts w:ascii="Arial" w:hAnsi="Arial" w:cs="Arial"/>
                          <w:i/>
                          <w:iCs/>
                          <w:lang w:val="en-US"/>
                        </w:rPr>
                        <w:t xml:space="preserve"> or</w:t>
                      </w:r>
                    </w:p>
                    <w:p w14:paraId="079F371E" w14:textId="77777777" w:rsidR="00E246FF" w:rsidRDefault="00E246FF" w:rsidP="00E246FF">
                      <w:pPr>
                        <w:spacing w:after="120"/>
                        <w:ind w:left="284"/>
                        <w:rPr>
                          <w:rFonts w:ascii="Arial" w:hAnsi="Arial" w:cs="Arial"/>
                          <w:i/>
                          <w:iCs/>
                          <w:lang w:val="en-US"/>
                        </w:rPr>
                      </w:pPr>
                      <w:r w:rsidRPr="00D033A7">
                        <w:rPr>
                          <w:rFonts w:ascii="Arial" w:hAnsi="Arial" w:cs="Arial"/>
                          <w:i/>
                          <w:iCs/>
                          <w:lang w:val="en-US"/>
                        </w:rPr>
                        <w:t>•</w:t>
                      </w:r>
                      <w:r w:rsidRPr="00D033A7">
                        <w:rPr>
                          <w:rFonts w:ascii="Arial" w:hAnsi="Arial" w:cs="Arial"/>
                          <w:i/>
                          <w:iCs/>
                          <w:lang w:val="en-US"/>
                        </w:rPr>
                        <w:tab/>
                      </w:r>
                      <w:r>
                        <w:rPr>
                          <w:rFonts w:ascii="Arial" w:hAnsi="Arial" w:cs="Arial"/>
                          <w:i/>
                          <w:iCs/>
                          <w:lang w:val="en-US"/>
                        </w:rPr>
                        <w:t>t</w:t>
                      </w:r>
                      <w:r w:rsidRPr="00D033A7">
                        <w:rPr>
                          <w:rFonts w:ascii="Arial" w:hAnsi="Arial" w:cs="Arial"/>
                          <w:i/>
                          <w:iCs/>
                          <w:lang w:val="en-US"/>
                        </w:rPr>
                        <w:t xml:space="preserve">he standard CA REFSENS requirement also for the higher power class </w:t>
                      </w:r>
                      <w:r>
                        <w:rPr>
                          <w:rFonts w:ascii="Arial" w:hAnsi="Arial" w:cs="Arial"/>
                          <w:i/>
                          <w:iCs/>
                          <w:lang w:val="en-US"/>
                        </w:rPr>
                        <w:t>PC2/</w:t>
                      </w:r>
                      <w:r w:rsidRPr="00D033A7">
                        <w:rPr>
                          <w:rFonts w:ascii="Arial" w:hAnsi="Arial" w:cs="Arial"/>
                          <w:i/>
                          <w:iCs/>
                          <w:lang w:val="en-US"/>
                        </w:rPr>
                        <w:t>PC1.5 irrespective of any allowed exception</w:t>
                      </w:r>
                    </w:p>
                    <w:p w14:paraId="1FC3B24C" w14:textId="23136F1A" w:rsidR="00E246FF" w:rsidRPr="00E246FF" w:rsidRDefault="00E246FF" w:rsidP="007C2C93">
                      <w:pPr>
                        <w:rPr>
                          <w:lang w:val="en-US"/>
                        </w:rPr>
                      </w:pPr>
                    </w:p>
                  </w:txbxContent>
                </v:textbox>
                <w10:anchorlock/>
              </v:shape>
            </w:pict>
          </mc:Fallback>
        </mc:AlternateContent>
      </w:r>
    </w:p>
    <w:p w14:paraId="53068A45" w14:textId="7B23C7AB" w:rsidR="008A5220" w:rsidRDefault="00E246FF" w:rsidP="00AB3E90">
      <w:r w:rsidRPr="00E246FF">
        <w:t>As expressed online during RAN4#110</w:t>
      </w:r>
      <w:r>
        <w:t xml:space="preserve">, we believe option 1 is technically correct, but could lead to misunderstanding of the specification as well as misalignment between </w:t>
      </w:r>
      <w:r w:rsidR="00D26198">
        <w:t xml:space="preserve">vendors and TE makers. The readers/users of the specifications have to repeat the process of error-prone checking on the </w:t>
      </w:r>
      <w:proofErr w:type="spellStart"/>
      <w:r w:rsidR="00D26198">
        <w:t>fallback</w:t>
      </w:r>
      <w:proofErr w:type="spellEnd"/>
      <w:r w:rsidR="00D26198">
        <w:t xml:space="preserve"> combinations.</w:t>
      </w:r>
    </w:p>
    <w:p w14:paraId="26AFE34F" w14:textId="23091DC9" w:rsidR="00D26198" w:rsidRPr="00E246FF" w:rsidRDefault="00D26198" w:rsidP="00AB3E90">
      <w:r>
        <w:t xml:space="preserve">Strictly speaking, option 3 is to address a rather different issue in which </w:t>
      </w:r>
      <w:r w:rsidR="005063D4">
        <w:t xml:space="preserve">case the PC2/PC1.5 MSD requirements for the </w:t>
      </w:r>
      <w:proofErr w:type="spellStart"/>
      <w:r w:rsidR="005063D4">
        <w:t>fallback</w:t>
      </w:r>
      <w:proofErr w:type="spellEnd"/>
      <w:r w:rsidR="005063D4">
        <w:t xml:space="preserve"> combinations are not completed yet. This issue is under discussion in a dedicated agenda item and should not be mixed up here.</w:t>
      </w:r>
    </w:p>
    <w:p w14:paraId="349606DF" w14:textId="73C9E1BB" w:rsidR="005063D4" w:rsidRDefault="005063D4" w:rsidP="00AB3E90">
      <w:r>
        <w:lastRenderedPageBreak/>
        <w:t>It’s worth noting that a tentative agreement was captured in the Chairman’s notes as follows:</w:t>
      </w:r>
    </w:p>
    <w:p w14:paraId="22E5C0E4" w14:textId="5134F2D1" w:rsidR="005063D4" w:rsidRDefault="005063D4" w:rsidP="00AB3E90">
      <w:r>
        <w:rPr>
          <w:noProof/>
        </w:rPr>
        <mc:AlternateContent>
          <mc:Choice Requires="wps">
            <w:drawing>
              <wp:inline distT="0" distB="0" distL="0" distR="0" wp14:anchorId="7754238C" wp14:editId="29BA7955">
                <wp:extent cx="6073181" cy="1049867"/>
                <wp:effectExtent l="38100" t="38100" r="118110" b="1123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81" cy="1049867"/>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94AEDCA" w14:textId="77777777" w:rsidR="005063D4" w:rsidRPr="00611976" w:rsidRDefault="005063D4" w:rsidP="005063D4">
                            <w:pPr>
                              <w:pStyle w:val="ListParagraph"/>
                              <w:numPr>
                                <w:ilvl w:val="0"/>
                                <w:numId w:val="20"/>
                              </w:numPr>
                              <w:spacing w:after="120"/>
                              <w:contextualSpacing w:val="0"/>
                              <w:jc w:val="both"/>
                              <w:rPr>
                                <w:rFonts w:ascii="Arial" w:hAnsi="Arial" w:cs="Arial"/>
                              </w:rPr>
                            </w:pPr>
                            <w:r w:rsidRPr="00611976">
                              <w:rPr>
                                <w:rFonts w:ascii="Arial" w:hAnsi="Arial" w:cs="Arial" w:hint="eastAsia"/>
                              </w:rPr>
                              <w:t>RAN4 has the common understanding that the specifications do not prevent UE vendors to implement the higher order combinations for PC2 and PC1.5, even if they are not explicitly introduced in the RAN4 specifications</w:t>
                            </w:r>
                            <w:r>
                              <w:rPr>
                                <w:rFonts w:ascii="Arial" w:hAnsi="Arial" w:cs="Arial"/>
                              </w:rPr>
                              <w:t>.</w:t>
                            </w:r>
                          </w:p>
                          <w:p w14:paraId="6A912975" w14:textId="77777777" w:rsidR="005063D4" w:rsidRDefault="005063D4" w:rsidP="005063D4">
                            <w:pPr>
                              <w:pStyle w:val="ListParagraph"/>
                              <w:numPr>
                                <w:ilvl w:val="1"/>
                                <w:numId w:val="20"/>
                              </w:numPr>
                              <w:spacing w:after="120"/>
                              <w:jc w:val="both"/>
                              <w:rPr>
                                <w:rFonts w:ascii="Arial" w:hAnsi="Arial" w:cs="Arial"/>
                              </w:rPr>
                            </w:pPr>
                            <w:r w:rsidRPr="00611976">
                              <w:rPr>
                                <w:rFonts w:ascii="Arial" w:hAnsi="Arial" w:cs="Arial" w:hint="eastAsia"/>
                              </w:rPr>
                              <w:t>The 2 band and 3 band combinations should be specified for PC3, PC2 and PC1.5 first.</w:t>
                            </w:r>
                          </w:p>
                          <w:p w14:paraId="2BD8AE7B" w14:textId="77777777" w:rsidR="005063D4" w:rsidRPr="005063D4" w:rsidRDefault="005063D4" w:rsidP="005063D4"/>
                        </w:txbxContent>
                      </wps:txbx>
                      <wps:bodyPr rot="0" vert="horz" wrap="square" lIns="91440" tIns="45720" rIns="91440" bIns="45720" anchor="t" anchorCtr="0">
                        <a:noAutofit/>
                      </wps:bodyPr>
                    </wps:wsp>
                  </a:graphicData>
                </a:graphic>
              </wp:inline>
            </w:drawing>
          </mc:Choice>
          <mc:Fallback>
            <w:pict>
              <v:shape w14:anchorId="7754238C" id="_x0000_s1027" type="#_x0000_t202" style="width:478.2pt;height: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">
                <v:shadow on="t" color="black" opacity="26214f" origin="-.5,-.5" offset=".74836mm,.74836mm"/>
                <v:textbox>
                  <w:txbxContent>
                    <w:p w14:paraId="194AEDCA" w14:textId="77777777" w:rsidR="005063D4" w:rsidRPr="00611976" w:rsidRDefault="005063D4" w:rsidP="005063D4">
                      <w:pPr>
                        <w:pStyle w:val="ListParagraph"/>
                        <w:numPr>
                          <w:ilvl w:val="0"/>
                          <w:numId w:val="20"/>
                        </w:numPr>
                        <w:spacing w:after="120"/>
                        <w:contextualSpacing w:val="0"/>
                        <w:jc w:val="both"/>
                        <w:rPr>
                          <w:rFonts w:ascii="Arial" w:hAnsi="Arial" w:cs="Arial"/>
                        </w:rPr>
                      </w:pPr>
                      <w:r w:rsidRPr="00611976">
                        <w:rPr>
                          <w:rFonts w:ascii="Arial" w:hAnsi="Arial" w:cs="Arial" w:hint="eastAsia"/>
                        </w:rPr>
                        <w:t>RAN4 has the common understanding that the specifications do not prevent UE vendors to implement the higher order combinations for PC2 and PC1.5, even if they are not explicitly introduced in the RAN4 specifications</w:t>
                      </w:r>
                      <w:r>
                        <w:rPr>
                          <w:rFonts w:ascii="Arial" w:hAnsi="Arial" w:cs="Arial"/>
                        </w:rPr>
                        <w:t>.</w:t>
                      </w:r>
                    </w:p>
                    <w:p w14:paraId="6A912975" w14:textId="77777777" w:rsidR="005063D4" w:rsidRDefault="005063D4" w:rsidP="005063D4">
                      <w:pPr>
                        <w:pStyle w:val="ListParagraph"/>
                        <w:numPr>
                          <w:ilvl w:val="1"/>
                          <w:numId w:val="20"/>
                        </w:numPr>
                        <w:spacing w:after="120"/>
                        <w:jc w:val="both"/>
                        <w:rPr>
                          <w:rFonts w:ascii="Arial" w:hAnsi="Arial" w:cs="Arial"/>
                        </w:rPr>
                      </w:pPr>
                      <w:r w:rsidRPr="00611976">
                        <w:rPr>
                          <w:rFonts w:ascii="Arial" w:hAnsi="Arial" w:cs="Arial" w:hint="eastAsia"/>
                        </w:rPr>
                        <w:t>The 2 band and 3 band combinations should be specified for PC3, PC2 and PC1.5 first.</w:t>
                      </w:r>
                    </w:p>
                    <w:p w14:paraId="2BD8AE7B" w14:textId="77777777" w:rsidR="005063D4" w:rsidRPr="005063D4" w:rsidRDefault="005063D4" w:rsidP="005063D4"/>
                  </w:txbxContent>
                </v:textbox>
                <w10:anchorlock/>
              </v:shape>
            </w:pict>
          </mc:Fallback>
        </mc:AlternateContent>
      </w:r>
    </w:p>
    <w:p w14:paraId="5BB7F01F" w14:textId="1B774C93" w:rsidR="005063D4" w:rsidRDefault="005063D4" w:rsidP="00AB3E90">
      <w:r>
        <w:t>We support the above view since the current MSD requirements are defined using 2 band</w:t>
      </w:r>
      <w:r w:rsidR="00423476">
        <w:t>s</w:t>
      </w:r>
      <w:r>
        <w:t xml:space="preserve"> </w:t>
      </w:r>
      <w:r w:rsidR="00423476">
        <w:t xml:space="preserve">and </w:t>
      </w:r>
      <w:r>
        <w:t>3 band</w:t>
      </w:r>
      <w:r w:rsidR="00423476">
        <w:t>s</w:t>
      </w:r>
      <w:r>
        <w:t xml:space="preserve"> combinations, which are also applicable for higher order band combinations.</w:t>
      </w:r>
      <w:r w:rsidR="00423476">
        <w:t xml:space="preserve"> There’re no MSD requirements dedicated for more than 3 bands combinations.</w:t>
      </w:r>
    </w:p>
    <w:p w14:paraId="61CCE709" w14:textId="2DCFE653" w:rsidR="005063D4" w:rsidRPr="005063D4" w:rsidRDefault="005063D4" w:rsidP="00AB3E90">
      <w:pPr>
        <w:rPr>
          <w:b/>
        </w:rPr>
      </w:pPr>
      <w:r w:rsidRPr="005063D4">
        <w:rPr>
          <w:b/>
        </w:rPr>
        <w:t>Proposal 1: Support option 2 for HPUE indication for higher order inter-band DL BC.</w:t>
      </w:r>
    </w:p>
    <w:p w14:paraId="3446CDEA" w14:textId="348C3224" w:rsidR="005E0A92" w:rsidRPr="00812511" w:rsidRDefault="005E0A92" w:rsidP="00AB3E90"/>
    <w:p w14:paraId="0B12A28B" w14:textId="53D23170" w:rsidR="00801F3D" w:rsidRDefault="00801F3D" w:rsidP="00801F3D">
      <w:pPr>
        <w:pStyle w:val="Heading3"/>
      </w:pPr>
      <w:r>
        <w:t xml:space="preserve">2.2 </w:t>
      </w:r>
      <w:r w:rsidR="006D3696">
        <w:t xml:space="preserve">HPUE indication for </w:t>
      </w:r>
      <w:r w:rsidR="009B3102">
        <w:t>inter-band DL BC with intra-band DL component</w:t>
      </w:r>
    </w:p>
    <w:p w14:paraId="3E9BC13D" w14:textId="7CEC0425" w:rsidR="005205EF" w:rsidRDefault="005205EF" w:rsidP="003233C6">
      <w:pPr>
        <w:rPr>
          <w:lang w:val="en-US"/>
        </w:rPr>
      </w:pPr>
      <w:r>
        <w:rPr>
          <w:lang w:val="en-US"/>
        </w:rPr>
        <w:t>The following proposals are captured in the WF [1]:</w:t>
      </w:r>
    </w:p>
    <w:p w14:paraId="05680A5D" w14:textId="6AAEFC87" w:rsidR="005205EF" w:rsidRDefault="005205EF" w:rsidP="003233C6">
      <w:pPr>
        <w:rPr>
          <w:lang w:val="en-US"/>
        </w:rPr>
      </w:pPr>
      <w:r>
        <w:rPr>
          <w:noProof/>
        </w:rPr>
        <mc:AlternateContent>
          <mc:Choice Requires="wps">
            <w:drawing>
              <wp:inline distT="0" distB="0" distL="0" distR="0" wp14:anchorId="561AC299" wp14:editId="5BA85593">
                <wp:extent cx="6073181" cy="1404620"/>
                <wp:effectExtent l="38100" t="38100" r="118110" b="1092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81"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514B49B" w14:textId="77777777" w:rsidR="009B3102" w:rsidRDefault="009B3102" w:rsidP="009B3102">
                            <w:pPr>
                              <w:spacing w:after="0"/>
                              <w:jc w:val="both"/>
                              <w:rPr>
                                <w:rFonts w:ascii="Arial" w:hAnsi="Arial" w:cs="Arial"/>
                                <w:i/>
                                <w:iCs/>
                              </w:rPr>
                            </w:pPr>
                            <w:r w:rsidRPr="00420553">
                              <w:rPr>
                                <w:rFonts w:ascii="Arial" w:hAnsi="Arial" w:cs="Arial"/>
                                <w:b/>
                                <w:bCs/>
                                <w:i/>
                                <w:iCs/>
                              </w:rPr>
                              <w:t xml:space="preserve">Proposal </w:t>
                            </w:r>
                            <w:r>
                              <w:rPr>
                                <w:rFonts w:ascii="Arial" w:hAnsi="Arial" w:cs="Arial"/>
                                <w:b/>
                                <w:bCs/>
                                <w:i/>
                                <w:iCs/>
                              </w:rPr>
                              <w:t>1</w:t>
                            </w:r>
                            <w:r w:rsidRPr="00420553">
                              <w:rPr>
                                <w:rFonts w:ascii="Arial" w:hAnsi="Arial" w:cs="Arial"/>
                                <w:i/>
                                <w:iCs/>
                              </w:rPr>
                              <w:t xml:space="preserve">: </w:t>
                            </w:r>
                            <w:r>
                              <w:rPr>
                                <w:rFonts w:ascii="Arial" w:hAnsi="Arial" w:cs="Arial"/>
                                <w:i/>
                                <w:iCs/>
                              </w:rPr>
                              <w:t xml:space="preserve">Companies are encouraged to investigate whether </w:t>
                            </w:r>
                            <w:r w:rsidRPr="003F471A">
                              <w:rPr>
                                <w:rFonts w:ascii="Arial" w:hAnsi="Arial" w:cs="Arial"/>
                                <w:i/>
                                <w:iCs/>
                                <w:lang w:val="en-US"/>
                              </w:rPr>
                              <w:t xml:space="preserve">the same inter-band combination with higher-order intra-band DL configurations can inherit the same UL power classes </w:t>
                            </w:r>
                            <w:r>
                              <w:rPr>
                                <w:rFonts w:ascii="Arial" w:hAnsi="Arial" w:cs="Arial"/>
                                <w:i/>
                                <w:iCs/>
                                <w:lang w:val="en-US"/>
                              </w:rPr>
                              <w:t xml:space="preserve">support </w:t>
                            </w:r>
                            <w:r w:rsidRPr="003F471A">
                              <w:rPr>
                                <w:rFonts w:ascii="Arial" w:hAnsi="Arial" w:cs="Arial"/>
                                <w:i/>
                                <w:iCs/>
                                <w:lang w:val="en-US"/>
                              </w:rPr>
                              <w:t>as with the lowest order combination.</w:t>
                            </w:r>
                          </w:p>
                          <w:p w14:paraId="56616650" w14:textId="77777777" w:rsidR="009B3102" w:rsidRDefault="009B3102" w:rsidP="009B3102">
                            <w:pPr>
                              <w:spacing w:after="0"/>
                              <w:jc w:val="both"/>
                              <w:rPr>
                                <w:rFonts w:ascii="Arial" w:hAnsi="Arial" w:cs="Arial"/>
                                <w:b/>
                                <w:bCs/>
                              </w:rPr>
                            </w:pPr>
                          </w:p>
                          <w:p w14:paraId="719EFA41" w14:textId="77777777" w:rsidR="009B3102" w:rsidRDefault="009B3102" w:rsidP="009B3102">
                            <w:pPr>
                              <w:spacing w:after="0"/>
                              <w:jc w:val="both"/>
                              <w:rPr>
                                <w:rFonts w:ascii="Arial" w:hAnsi="Arial" w:cs="Arial"/>
                              </w:rPr>
                            </w:pPr>
                            <w:r w:rsidRPr="002A596C">
                              <w:rPr>
                                <w:rFonts w:ascii="Arial" w:hAnsi="Arial" w:cs="Arial"/>
                              </w:rPr>
                              <w:t xml:space="preserve">Table </w:t>
                            </w:r>
                            <w:r>
                              <w:rPr>
                                <w:rFonts w:ascii="Arial" w:hAnsi="Arial" w:cs="Arial"/>
                              </w:rPr>
                              <w:t xml:space="preserve">below is an example of same inter-band combination with and </w:t>
                            </w:r>
                            <w:r w:rsidRPr="002A596C">
                              <w:rPr>
                                <w:rFonts w:ascii="Arial" w:hAnsi="Arial" w:cs="Arial"/>
                              </w:rPr>
                              <w:t>without intra-band configurations in D</w:t>
                            </w:r>
                            <w:r>
                              <w:rPr>
                                <w:rFonts w:ascii="Arial" w:hAnsi="Arial" w:cs="Arial"/>
                              </w:rPr>
                              <w:t>L.</w:t>
                            </w:r>
                          </w:p>
                          <w:p w14:paraId="5B7955D8" w14:textId="77777777" w:rsidR="009B3102" w:rsidRPr="002A596C" w:rsidRDefault="009B3102" w:rsidP="009B310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2155"/>
                              <w:gridCol w:w="2255"/>
                              <w:gridCol w:w="2340"/>
                            </w:tblGrid>
                            <w:tr w:rsidR="009B3102" w:rsidRPr="002A596C" w14:paraId="04FCB94B" w14:textId="77777777" w:rsidTr="00EA3DA2">
                              <w:trPr>
                                <w:trHeight w:val="432"/>
                                <w:jc w:val="center"/>
                              </w:trPr>
                              <w:tc>
                                <w:tcPr>
                                  <w:tcW w:w="6750" w:type="dxa"/>
                                  <w:gridSpan w:val="3"/>
                                  <w:vAlign w:val="center"/>
                                </w:tcPr>
                                <w:p w14:paraId="58DF2E36" w14:textId="77777777" w:rsidR="009B3102" w:rsidRPr="002A596C" w:rsidRDefault="009B3102" w:rsidP="009B3102">
                                  <w:pPr>
                                    <w:spacing w:after="0"/>
                                    <w:jc w:val="center"/>
                                    <w:rPr>
                                      <w:rFonts w:asciiTheme="minorHAnsi" w:hAnsiTheme="minorHAnsi" w:cstheme="minorHAnsi"/>
                                      <w:b/>
                                      <w:bCs/>
                                    </w:rPr>
                                  </w:pPr>
                                  <w:r w:rsidRPr="002A596C">
                                    <w:rPr>
                                      <w:rFonts w:asciiTheme="minorHAnsi" w:hAnsiTheme="minorHAnsi" w:cstheme="minorHAnsi"/>
                                      <w:b/>
                                      <w:bCs/>
                                    </w:rPr>
                                    <w:t>Same inter-band combination composed of n1 and n78</w:t>
                                  </w:r>
                                </w:p>
                              </w:tc>
                            </w:tr>
                            <w:tr w:rsidR="009B3102" w:rsidRPr="002A596C" w14:paraId="24A431E9" w14:textId="77777777" w:rsidTr="00EA3DA2">
                              <w:trPr>
                                <w:trHeight w:val="432"/>
                                <w:jc w:val="center"/>
                              </w:trPr>
                              <w:tc>
                                <w:tcPr>
                                  <w:tcW w:w="2155" w:type="dxa"/>
                                  <w:vAlign w:val="center"/>
                                </w:tcPr>
                                <w:p w14:paraId="6E5D2665"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DL Configuration</w:t>
                                  </w:r>
                                </w:p>
                              </w:tc>
                              <w:tc>
                                <w:tcPr>
                                  <w:tcW w:w="2255" w:type="dxa"/>
                                  <w:vAlign w:val="center"/>
                                </w:tcPr>
                                <w:p w14:paraId="0696DAB8"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UL Configuration</w:t>
                                  </w:r>
                                </w:p>
                              </w:tc>
                              <w:tc>
                                <w:tcPr>
                                  <w:tcW w:w="2340" w:type="dxa"/>
                                  <w:vAlign w:val="center"/>
                                </w:tcPr>
                                <w:p w14:paraId="64517937"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Comment</w:t>
                                  </w:r>
                                </w:p>
                              </w:tc>
                            </w:tr>
                            <w:tr w:rsidR="009B3102" w:rsidRPr="002A596C" w14:paraId="087C80B7" w14:textId="77777777" w:rsidTr="00EA3DA2">
                              <w:trPr>
                                <w:trHeight w:val="432"/>
                                <w:jc w:val="center"/>
                              </w:trPr>
                              <w:tc>
                                <w:tcPr>
                                  <w:tcW w:w="2155" w:type="dxa"/>
                                  <w:vAlign w:val="center"/>
                                </w:tcPr>
                                <w:p w14:paraId="4A1B85F2"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p>
                              </w:tc>
                              <w:tc>
                                <w:tcPr>
                                  <w:tcW w:w="2255" w:type="dxa"/>
                                  <w:vAlign w:val="center"/>
                                </w:tcPr>
                                <w:p w14:paraId="1CEE67A3"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n1</w:t>
                                  </w:r>
                                  <w:r w:rsidRPr="002A596C">
                                    <w:rPr>
                                      <w:rFonts w:asciiTheme="minorHAnsi" w:hAnsiTheme="minorHAnsi" w:cstheme="minorHAnsi"/>
                                      <w:vertAlign w:val="superscript"/>
                                    </w:rPr>
                                    <w:t>8</w:t>
                                  </w:r>
                                </w:p>
                                <w:p w14:paraId="010AA013"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n78</w:t>
                                  </w:r>
                                  <w:r w:rsidRPr="002A596C">
                                    <w:rPr>
                                      <w:rFonts w:asciiTheme="minorHAnsi" w:hAnsiTheme="minorHAnsi" w:cstheme="minorHAnsi"/>
                                      <w:vertAlign w:val="superscript"/>
                                    </w:rPr>
                                    <w:t>8,9</w:t>
                                  </w:r>
                                </w:p>
                                <w:p w14:paraId="0FABB3CD"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r w:rsidRPr="002A596C">
                                    <w:rPr>
                                      <w:rFonts w:asciiTheme="minorHAnsi" w:hAnsiTheme="minorHAnsi" w:cstheme="minorHAnsi"/>
                                      <w:vertAlign w:val="superscript"/>
                                    </w:rPr>
                                    <w:t>8</w:t>
                                  </w:r>
                                </w:p>
                              </w:tc>
                              <w:tc>
                                <w:tcPr>
                                  <w:tcW w:w="2340" w:type="dxa"/>
                                  <w:vAlign w:val="center"/>
                                </w:tcPr>
                                <w:p w14:paraId="491D6A1C"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Lowest order</w:t>
                                  </w:r>
                                </w:p>
                              </w:tc>
                            </w:tr>
                            <w:tr w:rsidR="009B3102" w:rsidRPr="002A596C" w14:paraId="43C7E935" w14:textId="77777777" w:rsidTr="00EA3DA2">
                              <w:trPr>
                                <w:trHeight w:val="432"/>
                                <w:jc w:val="center"/>
                              </w:trPr>
                              <w:tc>
                                <w:tcPr>
                                  <w:tcW w:w="2155" w:type="dxa"/>
                                  <w:vAlign w:val="center"/>
                                </w:tcPr>
                                <w:p w14:paraId="2B62A1AE"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CA_n1A-n78(2A)</w:t>
                                  </w:r>
                                </w:p>
                              </w:tc>
                              <w:tc>
                                <w:tcPr>
                                  <w:tcW w:w="2255" w:type="dxa"/>
                                  <w:vAlign w:val="center"/>
                                </w:tcPr>
                                <w:p w14:paraId="01E168B5"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CA_n78(2A)</w:t>
                                  </w:r>
                                </w:p>
                                <w:p w14:paraId="3F7A88B9"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p>
                              </w:tc>
                              <w:tc>
                                <w:tcPr>
                                  <w:tcW w:w="2340" w:type="dxa"/>
                                  <w:vAlign w:val="center"/>
                                </w:tcPr>
                                <w:p w14:paraId="5ADBF80D"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Higher order</w:t>
                                  </w:r>
                                </w:p>
                              </w:tc>
                            </w:tr>
                            <w:tr w:rsidR="009B3102" w:rsidRPr="002A596C" w14:paraId="5BE88284" w14:textId="77777777" w:rsidTr="00EA3DA2">
                              <w:trPr>
                                <w:trHeight w:val="432"/>
                                <w:jc w:val="center"/>
                              </w:trPr>
                              <w:tc>
                                <w:tcPr>
                                  <w:tcW w:w="2155" w:type="dxa"/>
                                  <w:vAlign w:val="center"/>
                                </w:tcPr>
                                <w:p w14:paraId="674A71F7"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CA_n1A-n78C</w:t>
                                  </w:r>
                                </w:p>
                              </w:tc>
                              <w:tc>
                                <w:tcPr>
                                  <w:tcW w:w="2255" w:type="dxa"/>
                                  <w:vAlign w:val="center"/>
                                </w:tcPr>
                                <w:p w14:paraId="2E02F729"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CA_n78C</w:t>
                                  </w:r>
                                </w:p>
                                <w:p w14:paraId="42D09EFC"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p>
                              </w:tc>
                              <w:tc>
                                <w:tcPr>
                                  <w:tcW w:w="2340" w:type="dxa"/>
                                  <w:vAlign w:val="center"/>
                                </w:tcPr>
                                <w:p w14:paraId="58700123"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Higher order</w:t>
                                  </w:r>
                                </w:p>
                              </w:tc>
                            </w:tr>
                            <w:tr w:rsidR="009B3102" w:rsidRPr="002A596C" w14:paraId="73DA0B77" w14:textId="77777777" w:rsidTr="00EA3DA2">
                              <w:trPr>
                                <w:trHeight w:val="432"/>
                                <w:jc w:val="center"/>
                              </w:trPr>
                              <w:tc>
                                <w:tcPr>
                                  <w:tcW w:w="2155" w:type="dxa"/>
                                  <w:vAlign w:val="center"/>
                                </w:tcPr>
                                <w:p w14:paraId="01E3E3E3"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CA_n1(2A)-n78A</w:t>
                                  </w:r>
                                </w:p>
                              </w:tc>
                              <w:tc>
                                <w:tcPr>
                                  <w:tcW w:w="2255" w:type="dxa"/>
                                  <w:vAlign w:val="center"/>
                                </w:tcPr>
                                <w:p w14:paraId="1EAA3E74"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w:t>
                                  </w:r>
                                </w:p>
                              </w:tc>
                              <w:tc>
                                <w:tcPr>
                                  <w:tcW w:w="2340" w:type="dxa"/>
                                  <w:vAlign w:val="center"/>
                                </w:tcPr>
                                <w:p w14:paraId="042AAA75"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Higher order</w:t>
                                  </w:r>
                                </w:p>
                              </w:tc>
                            </w:tr>
                          </w:tbl>
                          <w:p w14:paraId="0EF6C095" w14:textId="77777777" w:rsidR="009B3102" w:rsidRDefault="009B3102" w:rsidP="009B3102">
                            <w:pPr>
                              <w:spacing w:after="0"/>
                              <w:jc w:val="both"/>
                              <w:rPr>
                                <w:rFonts w:ascii="Arial" w:hAnsi="Arial" w:cs="Arial"/>
                                <w:b/>
                                <w:bCs/>
                              </w:rPr>
                            </w:pPr>
                          </w:p>
                          <w:p w14:paraId="2B46BA6B" w14:textId="77777777" w:rsidR="009B3102" w:rsidRPr="003F471A" w:rsidRDefault="009B3102" w:rsidP="009B3102">
                            <w:pPr>
                              <w:spacing w:after="0"/>
                              <w:jc w:val="both"/>
                              <w:rPr>
                                <w:rFonts w:ascii="Arial" w:hAnsi="Arial" w:cs="Arial"/>
                                <w:b/>
                                <w:bCs/>
                              </w:rPr>
                            </w:pPr>
                          </w:p>
                          <w:p w14:paraId="03623C46" w14:textId="536A6DBE" w:rsidR="00E246FF" w:rsidRDefault="009B3102" w:rsidP="009B3102">
                            <w:r w:rsidRPr="00833522">
                              <w:rPr>
                                <w:rFonts w:ascii="Arial" w:hAnsi="Arial" w:cs="Arial"/>
                                <w:b/>
                                <w:bCs/>
                                <w:i/>
                                <w:iCs/>
                              </w:rPr>
                              <w:t xml:space="preserve">Proposal </w:t>
                            </w:r>
                            <w:r>
                              <w:rPr>
                                <w:rFonts w:ascii="Arial" w:hAnsi="Arial" w:cs="Arial"/>
                                <w:b/>
                                <w:bCs/>
                                <w:i/>
                                <w:iCs/>
                              </w:rPr>
                              <w:t>2</w:t>
                            </w:r>
                            <w:r>
                              <w:rPr>
                                <w:rFonts w:ascii="Arial" w:hAnsi="Arial" w:cs="Arial"/>
                                <w:i/>
                                <w:iCs/>
                              </w:rPr>
                              <w:t xml:space="preserve">: If </w:t>
                            </w:r>
                            <w:r w:rsidRPr="003F471A">
                              <w:rPr>
                                <w:rFonts w:ascii="Arial" w:hAnsi="Arial" w:cs="Arial"/>
                                <w:i/>
                                <w:iCs/>
                                <w:lang w:val="en-US"/>
                              </w:rPr>
                              <w:t>the same inter-band combination with higher-order intra-band DL configurations can inherit the same UL power classes support as with the lowest order combination</w:t>
                            </w:r>
                            <w:r>
                              <w:rPr>
                                <w:rFonts w:ascii="Arial" w:hAnsi="Arial" w:cs="Arial"/>
                                <w:i/>
                                <w:iCs/>
                                <w:lang w:val="en-US"/>
                              </w:rPr>
                              <w:t>, companies are encouraged to investigate how to align the power classes support in the specifications.</w:t>
                            </w:r>
                          </w:p>
                        </w:txbxContent>
                      </wps:txbx>
                      <wps:bodyPr rot="0" vert="horz" wrap="square" lIns="91440" tIns="45720" rIns="91440" bIns="45720" anchor="t" anchorCtr="0">
                        <a:spAutoFit/>
                      </wps:bodyPr>
                    </wps:wsp>
                  </a:graphicData>
                </a:graphic>
              </wp:inline>
            </w:drawing>
          </mc:Choice>
          <mc:Fallback>
            <w:pict>
              <v:shapetype w14:anchorId="561AC299" id="_x0000_t202" coordsize="21600,21600" o:spt="202" path="m,l,21600r21600,l21600,xe">
                <v:stroke joinstyle="miter"/>
                <v:path gradientshapeok="t" o:connecttype="rect"/>
              </v:shapetype>
              <v:shape id="_x0000_s1028"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">
                <v:shadow on="t" color="black" opacity="26214f" origin="-.5,-.5" offset=".74836mm,.74836mm"/>
                <v:textbox style="mso-fit-shape-to-text:t">
                  <w:txbxContent>
                    <w:p w14:paraId="1514B49B" w14:textId="77777777" w:rsidR="009B3102" w:rsidRDefault="009B3102" w:rsidP="009B3102">
                      <w:pPr>
                        <w:spacing w:after="0"/>
                        <w:jc w:val="both"/>
                        <w:rPr>
                          <w:rFonts w:ascii="Arial" w:hAnsi="Arial" w:cs="Arial"/>
                          <w:i/>
                          <w:iCs/>
                        </w:rPr>
                      </w:pPr>
                      <w:r w:rsidRPr="00420553">
                        <w:rPr>
                          <w:rFonts w:ascii="Arial" w:hAnsi="Arial" w:cs="Arial"/>
                          <w:b/>
                          <w:bCs/>
                          <w:i/>
                          <w:iCs/>
                        </w:rPr>
                        <w:t xml:space="preserve">Proposal </w:t>
                      </w:r>
                      <w:r>
                        <w:rPr>
                          <w:rFonts w:ascii="Arial" w:hAnsi="Arial" w:cs="Arial"/>
                          <w:b/>
                          <w:bCs/>
                          <w:i/>
                          <w:iCs/>
                        </w:rPr>
                        <w:t>1</w:t>
                      </w:r>
                      <w:r w:rsidRPr="00420553">
                        <w:rPr>
                          <w:rFonts w:ascii="Arial" w:hAnsi="Arial" w:cs="Arial"/>
                          <w:i/>
                          <w:iCs/>
                        </w:rPr>
                        <w:t xml:space="preserve">: </w:t>
                      </w:r>
                      <w:r>
                        <w:rPr>
                          <w:rFonts w:ascii="Arial" w:hAnsi="Arial" w:cs="Arial"/>
                          <w:i/>
                          <w:iCs/>
                        </w:rPr>
                        <w:t xml:space="preserve">Companies are encouraged to investigate whether </w:t>
                      </w:r>
                      <w:r w:rsidRPr="003F471A">
                        <w:rPr>
                          <w:rFonts w:ascii="Arial" w:hAnsi="Arial" w:cs="Arial"/>
                          <w:i/>
                          <w:iCs/>
                          <w:lang w:val="en-US"/>
                        </w:rPr>
                        <w:t xml:space="preserve">the same inter-band combination with higher-order intra-band DL configurations can inherit the same UL power classes </w:t>
                      </w:r>
                      <w:r>
                        <w:rPr>
                          <w:rFonts w:ascii="Arial" w:hAnsi="Arial" w:cs="Arial"/>
                          <w:i/>
                          <w:iCs/>
                          <w:lang w:val="en-US"/>
                        </w:rPr>
                        <w:t xml:space="preserve">support </w:t>
                      </w:r>
                      <w:r w:rsidRPr="003F471A">
                        <w:rPr>
                          <w:rFonts w:ascii="Arial" w:hAnsi="Arial" w:cs="Arial"/>
                          <w:i/>
                          <w:iCs/>
                          <w:lang w:val="en-US"/>
                        </w:rPr>
                        <w:t>as with the lowest order combination.</w:t>
                      </w:r>
                    </w:p>
                    <w:p w14:paraId="56616650" w14:textId="77777777" w:rsidR="009B3102" w:rsidRDefault="009B3102" w:rsidP="009B3102">
                      <w:pPr>
                        <w:spacing w:after="0"/>
                        <w:jc w:val="both"/>
                        <w:rPr>
                          <w:rFonts w:ascii="Arial" w:hAnsi="Arial" w:cs="Arial"/>
                          <w:b/>
                          <w:bCs/>
                        </w:rPr>
                      </w:pPr>
                    </w:p>
                    <w:p w14:paraId="719EFA41" w14:textId="77777777" w:rsidR="009B3102" w:rsidRDefault="009B3102" w:rsidP="009B3102">
                      <w:pPr>
                        <w:spacing w:after="0"/>
                        <w:jc w:val="both"/>
                        <w:rPr>
                          <w:rFonts w:ascii="Arial" w:hAnsi="Arial" w:cs="Arial"/>
                        </w:rPr>
                      </w:pPr>
                      <w:r w:rsidRPr="002A596C">
                        <w:rPr>
                          <w:rFonts w:ascii="Arial" w:hAnsi="Arial" w:cs="Arial"/>
                        </w:rPr>
                        <w:t xml:space="preserve">Table </w:t>
                      </w:r>
                      <w:r>
                        <w:rPr>
                          <w:rFonts w:ascii="Arial" w:hAnsi="Arial" w:cs="Arial"/>
                        </w:rPr>
                        <w:t xml:space="preserve">below is an example of same inter-band combination with and </w:t>
                      </w:r>
                      <w:r w:rsidRPr="002A596C">
                        <w:rPr>
                          <w:rFonts w:ascii="Arial" w:hAnsi="Arial" w:cs="Arial"/>
                        </w:rPr>
                        <w:t>without intra-band configurations in D</w:t>
                      </w:r>
                      <w:r>
                        <w:rPr>
                          <w:rFonts w:ascii="Arial" w:hAnsi="Arial" w:cs="Arial"/>
                        </w:rPr>
                        <w:t>L.</w:t>
                      </w:r>
                    </w:p>
                    <w:p w14:paraId="5B7955D8" w14:textId="77777777" w:rsidR="009B3102" w:rsidRPr="002A596C" w:rsidRDefault="009B3102" w:rsidP="009B310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2155"/>
                        <w:gridCol w:w="2255"/>
                        <w:gridCol w:w="2340"/>
                      </w:tblGrid>
                      <w:tr w:rsidR="009B3102" w:rsidRPr="002A596C" w14:paraId="04FCB94B" w14:textId="77777777" w:rsidTr="00EA3DA2">
                        <w:trPr>
                          <w:trHeight w:val="432"/>
                          <w:jc w:val="center"/>
                        </w:trPr>
                        <w:tc>
                          <w:tcPr>
                            <w:tcW w:w="6750" w:type="dxa"/>
                            <w:gridSpan w:val="3"/>
                            <w:vAlign w:val="center"/>
                          </w:tcPr>
                          <w:p w14:paraId="58DF2E36" w14:textId="77777777" w:rsidR="009B3102" w:rsidRPr="002A596C" w:rsidRDefault="009B3102" w:rsidP="009B3102">
                            <w:pPr>
                              <w:spacing w:after="0"/>
                              <w:jc w:val="center"/>
                              <w:rPr>
                                <w:rFonts w:asciiTheme="minorHAnsi" w:hAnsiTheme="minorHAnsi" w:cstheme="minorHAnsi"/>
                                <w:b/>
                                <w:bCs/>
                              </w:rPr>
                            </w:pPr>
                            <w:r w:rsidRPr="002A596C">
                              <w:rPr>
                                <w:rFonts w:asciiTheme="minorHAnsi" w:hAnsiTheme="minorHAnsi" w:cstheme="minorHAnsi"/>
                                <w:b/>
                                <w:bCs/>
                              </w:rPr>
                              <w:t>Same inter-band combination composed of n1 and n78</w:t>
                            </w:r>
                          </w:p>
                        </w:tc>
                      </w:tr>
                      <w:tr w:rsidR="009B3102" w:rsidRPr="002A596C" w14:paraId="24A431E9" w14:textId="77777777" w:rsidTr="00EA3DA2">
                        <w:trPr>
                          <w:trHeight w:val="432"/>
                          <w:jc w:val="center"/>
                        </w:trPr>
                        <w:tc>
                          <w:tcPr>
                            <w:tcW w:w="2155" w:type="dxa"/>
                            <w:vAlign w:val="center"/>
                          </w:tcPr>
                          <w:p w14:paraId="6E5D2665"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DL Configuration</w:t>
                            </w:r>
                          </w:p>
                        </w:tc>
                        <w:tc>
                          <w:tcPr>
                            <w:tcW w:w="2255" w:type="dxa"/>
                            <w:vAlign w:val="center"/>
                          </w:tcPr>
                          <w:p w14:paraId="0696DAB8"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UL Configuration</w:t>
                            </w:r>
                          </w:p>
                        </w:tc>
                        <w:tc>
                          <w:tcPr>
                            <w:tcW w:w="2340" w:type="dxa"/>
                            <w:vAlign w:val="center"/>
                          </w:tcPr>
                          <w:p w14:paraId="64517937"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Comment</w:t>
                            </w:r>
                          </w:p>
                        </w:tc>
                      </w:tr>
                      <w:tr w:rsidR="009B3102" w:rsidRPr="002A596C" w14:paraId="087C80B7" w14:textId="77777777" w:rsidTr="00EA3DA2">
                        <w:trPr>
                          <w:trHeight w:val="432"/>
                          <w:jc w:val="center"/>
                        </w:trPr>
                        <w:tc>
                          <w:tcPr>
                            <w:tcW w:w="2155" w:type="dxa"/>
                            <w:vAlign w:val="center"/>
                          </w:tcPr>
                          <w:p w14:paraId="4A1B85F2"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p>
                        </w:tc>
                        <w:tc>
                          <w:tcPr>
                            <w:tcW w:w="2255" w:type="dxa"/>
                            <w:vAlign w:val="center"/>
                          </w:tcPr>
                          <w:p w14:paraId="1CEE67A3"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n1</w:t>
                            </w:r>
                            <w:r w:rsidRPr="002A596C">
                              <w:rPr>
                                <w:rFonts w:asciiTheme="minorHAnsi" w:hAnsiTheme="minorHAnsi" w:cstheme="minorHAnsi"/>
                                <w:vertAlign w:val="superscript"/>
                              </w:rPr>
                              <w:t>8</w:t>
                            </w:r>
                          </w:p>
                          <w:p w14:paraId="010AA013"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n78</w:t>
                            </w:r>
                            <w:r w:rsidRPr="002A596C">
                              <w:rPr>
                                <w:rFonts w:asciiTheme="minorHAnsi" w:hAnsiTheme="minorHAnsi" w:cstheme="minorHAnsi"/>
                                <w:vertAlign w:val="superscript"/>
                              </w:rPr>
                              <w:t>8,9</w:t>
                            </w:r>
                          </w:p>
                          <w:p w14:paraId="0FABB3CD"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r w:rsidRPr="002A596C">
                              <w:rPr>
                                <w:rFonts w:asciiTheme="minorHAnsi" w:hAnsiTheme="minorHAnsi" w:cstheme="minorHAnsi"/>
                                <w:vertAlign w:val="superscript"/>
                              </w:rPr>
                              <w:t>8</w:t>
                            </w:r>
                          </w:p>
                        </w:tc>
                        <w:tc>
                          <w:tcPr>
                            <w:tcW w:w="2340" w:type="dxa"/>
                            <w:vAlign w:val="center"/>
                          </w:tcPr>
                          <w:p w14:paraId="491D6A1C"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Lowest order</w:t>
                            </w:r>
                          </w:p>
                        </w:tc>
                      </w:tr>
                      <w:tr w:rsidR="009B3102" w:rsidRPr="002A596C" w14:paraId="43C7E935" w14:textId="77777777" w:rsidTr="00EA3DA2">
                        <w:trPr>
                          <w:trHeight w:val="432"/>
                          <w:jc w:val="center"/>
                        </w:trPr>
                        <w:tc>
                          <w:tcPr>
                            <w:tcW w:w="2155" w:type="dxa"/>
                            <w:vAlign w:val="center"/>
                          </w:tcPr>
                          <w:p w14:paraId="2B62A1AE"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CA_n1A-n78(2A)</w:t>
                            </w:r>
                          </w:p>
                        </w:tc>
                        <w:tc>
                          <w:tcPr>
                            <w:tcW w:w="2255" w:type="dxa"/>
                            <w:vAlign w:val="center"/>
                          </w:tcPr>
                          <w:p w14:paraId="01E168B5"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CA_n78(2A)</w:t>
                            </w:r>
                          </w:p>
                          <w:p w14:paraId="3F7A88B9"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p>
                        </w:tc>
                        <w:tc>
                          <w:tcPr>
                            <w:tcW w:w="2340" w:type="dxa"/>
                            <w:vAlign w:val="center"/>
                          </w:tcPr>
                          <w:p w14:paraId="5ADBF80D"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Higher order</w:t>
                            </w:r>
                          </w:p>
                        </w:tc>
                      </w:tr>
                      <w:tr w:rsidR="009B3102" w:rsidRPr="002A596C" w14:paraId="5BE88284" w14:textId="77777777" w:rsidTr="00EA3DA2">
                        <w:trPr>
                          <w:trHeight w:val="432"/>
                          <w:jc w:val="center"/>
                        </w:trPr>
                        <w:tc>
                          <w:tcPr>
                            <w:tcW w:w="2155" w:type="dxa"/>
                            <w:vAlign w:val="center"/>
                          </w:tcPr>
                          <w:p w14:paraId="674A71F7"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CA_n1A-n78C</w:t>
                            </w:r>
                          </w:p>
                        </w:tc>
                        <w:tc>
                          <w:tcPr>
                            <w:tcW w:w="2255" w:type="dxa"/>
                            <w:vAlign w:val="center"/>
                          </w:tcPr>
                          <w:p w14:paraId="2E02F729"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CA_n78C</w:t>
                            </w:r>
                          </w:p>
                          <w:p w14:paraId="42D09EFC"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CA_n1A-n78A</w:t>
                            </w:r>
                          </w:p>
                        </w:tc>
                        <w:tc>
                          <w:tcPr>
                            <w:tcW w:w="2340" w:type="dxa"/>
                            <w:vAlign w:val="center"/>
                          </w:tcPr>
                          <w:p w14:paraId="58700123"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Higher order</w:t>
                            </w:r>
                          </w:p>
                        </w:tc>
                      </w:tr>
                      <w:tr w:rsidR="009B3102" w:rsidRPr="002A596C" w14:paraId="73DA0B77" w14:textId="77777777" w:rsidTr="00EA3DA2">
                        <w:trPr>
                          <w:trHeight w:val="432"/>
                          <w:jc w:val="center"/>
                        </w:trPr>
                        <w:tc>
                          <w:tcPr>
                            <w:tcW w:w="2155" w:type="dxa"/>
                            <w:vAlign w:val="center"/>
                          </w:tcPr>
                          <w:p w14:paraId="01E3E3E3"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CA_n1(2A)-n78A</w:t>
                            </w:r>
                          </w:p>
                        </w:tc>
                        <w:tc>
                          <w:tcPr>
                            <w:tcW w:w="2255" w:type="dxa"/>
                            <w:vAlign w:val="center"/>
                          </w:tcPr>
                          <w:p w14:paraId="1EAA3E74" w14:textId="77777777" w:rsidR="009B3102" w:rsidRPr="002A596C" w:rsidRDefault="009B3102" w:rsidP="009B3102">
                            <w:pPr>
                              <w:spacing w:after="0"/>
                              <w:jc w:val="center"/>
                              <w:rPr>
                                <w:rFonts w:asciiTheme="minorHAnsi" w:hAnsiTheme="minorHAnsi" w:cstheme="minorHAnsi"/>
                              </w:rPr>
                            </w:pPr>
                            <w:r w:rsidRPr="002A596C">
                              <w:rPr>
                                <w:rFonts w:asciiTheme="minorHAnsi" w:hAnsiTheme="minorHAnsi" w:cstheme="minorHAnsi"/>
                              </w:rPr>
                              <w:t>-</w:t>
                            </w:r>
                          </w:p>
                        </w:tc>
                        <w:tc>
                          <w:tcPr>
                            <w:tcW w:w="2340" w:type="dxa"/>
                            <w:vAlign w:val="center"/>
                          </w:tcPr>
                          <w:p w14:paraId="042AAA75" w14:textId="77777777" w:rsidR="009B3102" w:rsidRPr="002A596C" w:rsidRDefault="009B3102" w:rsidP="009B3102">
                            <w:pPr>
                              <w:spacing w:after="0"/>
                              <w:rPr>
                                <w:rFonts w:asciiTheme="minorHAnsi" w:hAnsiTheme="minorHAnsi" w:cstheme="minorHAnsi"/>
                              </w:rPr>
                            </w:pPr>
                            <w:r w:rsidRPr="002A596C">
                              <w:rPr>
                                <w:rFonts w:asciiTheme="minorHAnsi" w:hAnsiTheme="minorHAnsi" w:cstheme="minorHAnsi"/>
                              </w:rPr>
                              <w:t>Higher order</w:t>
                            </w:r>
                          </w:p>
                        </w:tc>
                      </w:tr>
                    </w:tbl>
                    <w:p w14:paraId="0EF6C095" w14:textId="77777777" w:rsidR="009B3102" w:rsidRDefault="009B3102" w:rsidP="009B3102">
                      <w:pPr>
                        <w:spacing w:after="0"/>
                        <w:jc w:val="both"/>
                        <w:rPr>
                          <w:rFonts w:ascii="Arial" w:hAnsi="Arial" w:cs="Arial"/>
                          <w:b/>
                          <w:bCs/>
                        </w:rPr>
                      </w:pPr>
                    </w:p>
                    <w:p w14:paraId="2B46BA6B" w14:textId="77777777" w:rsidR="009B3102" w:rsidRPr="003F471A" w:rsidRDefault="009B3102" w:rsidP="009B3102">
                      <w:pPr>
                        <w:spacing w:after="0"/>
                        <w:jc w:val="both"/>
                        <w:rPr>
                          <w:rFonts w:ascii="Arial" w:hAnsi="Arial" w:cs="Arial"/>
                          <w:b/>
                          <w:bCs/>
                        </w:rPr>
                      </w:pPr>
                    </w:p>
                    <w:p w14:paraId="03623C46" w14:textId="536A6DBE" w:rsidR="00E246FF" w:rsidRDefault="009B3102" w:rsidP="009B3102">
                      <w:r w:rsidRPr="00833522">
                        <w:rPr>
                          <w:rFonts w:ascii="Arial" w:hAnsi="Arial" w:cs="Arial"/>
                          <w:b/>
                          <w:bCs/>
                          <w:i/>
                          <w:iCs/>
                        </w:rPr>
                        <w:t xml:space="preserve">Proposal </w:t>
                      </w:r>
                      <w:r>
                        <w:rPr>
                          <w:rFonts w:ascii="Arial" w:hAnsi="Arial" w:cs="Arial"/>
                          <w:b/>
                          <w:bCs/>
                          <w:i/>
                          <w:iCs/>
                        </w:rPr>
                        <w:t>2</w:t>
                      </w:r>
                      <w:r>
                        <w:rPr>
                          <w:rFonts w:ascii="Arial" w:hAnsi="Arial" w:cs="Arial"/>
                          <w:i/>
                          <w:iCs/>
                        </w:rPr>
                        <w:t xml:space="preserve">: If </w:t>
                      </w:r>
                      <w:r w:rsidRPr="003F471A">
                        <w:rPr>
                          <w:rFonts w:ascii="Arial" w:hAnsi="Arial" w:cs="Arial"/>
                          <w:i/>
                          <w:iCs/>
                          <w:lang w:val="en-US"/>
                        </w:rPr>
                        <w:t>the same inter-band combination with higher-order intra-band DL configurations can inherit the same UL power classes support as with the lowest order combination</w:t>
                      </w:r>
                      <w:r>
                        <w:rPr>
                          <w:rFonts w:ascii="Arial" w:hAnsi="Arial" w:cs="Arial"/>
                          <w:i/>
                          <w:iCs/>
                          <w:lang w:val="en-US"/>
                        </w:rPr>
                        <w:t>, companies are encouraged to investigate how to align the power classes support in the specifications.</w:t>
                      </w:r>
                    </w:p>
                  </w:txbxContent>
                </v:textbox>
                <w10:anchorlock/>
              </v:shape>
            </w:pict>
          </mc:Fallback>
        </mc:AlternateContent>
      </w:r>
    </w:p>
    <w:p w14:paraId="74D69EB0" w14:textId="72ACAF96" w:rsidR="00840130" w:rsidRDefault="00156D96" w:rsidP="00D3083E">
      <w:pPr>
        <w:ind w:left="-284"/>
        <w:rPr>
          <w:b/>
          <w:lang w:eastAsia="zh-CN"/>
        </w:rPr>
      </w:pPr>
      <w:r>
        <w:rPr>
          <w:b/>
          <w:lang w:eastAsia="zh-CN"/>
        </w:rPr>
        <w:t xml:space="preserve">Observation 1: </w:t>
      </w:r>
      <w:r w:rsidR="00736216">
        <w:rPr>
          <w:b/>
          <w:lang w:eastAsia="zh-CN"/>
        </w:rPr>
        <w:t xml:space="preserve">The description of the issue is not entirely clear. For example, “the same inter-band combination” </w:t>
      </w:r>
      <w:r w:rsidR="00027832">
        <w:rPr>
          <w:b/>
          <w:lang w:eastAsia="zh-CN"/>
        </w:rPr>
        <w:t>is</w:t>
      </w:r>
      <w:r w:rsidR="00736216">
        <w:rPr>
          <w:b/>
          <w:lang w:eastAsia="zh-CN"/>
        </w:rPr>
        <w:t xml:space="preserve"> confusing</w:t>
      </w:r>
      <w:r w:rsidR="002F6444">
        <w:rPr>
          <w:b/>
          <w:lang w:eastAsia="zh-CN"/>
        </w:rPr>
        <w:t>, which may be revised to “the inter-band combinations consisting of the same DL bands”.</w:t>
      </w:r>
    </w:p>
    <w:p w14:paraId="28295786" w14:textId="37A5F6CE" w:rsidR="00736216" w:rsidRDefault="00736216" w:rsidP="00D3083E">
      <w:pPr>
        <w:ind w:left="-284"/>
        <w:rPr>
          <w:b/>
          <w:lang w:eastAsia="zh-CN"/>
        </w:rPr>
      </w:pPr>
      <w:r>
        <w:rPr>
          <w:b/>
          <w:lang w:eastAsia="zh-CN"/>
        </w:rPr>
        <w:t>Observation 2: As per RAN2’s principle of capability inheritance, a lower order BC may inherit capabilities from higher order parent BCs, but not the other way around.</w:t>
      </w:r>
    </w:p>
    <w:p w14:paraId="3ED559D4" w14:textId="436E9CEE" w:rsidR="00BE446D" w:rsidRPr="00A54DE8" w:rsidRDefault="00840130" w:rsidP="00D3083E">
      <w:pPr>
        <w:ind w:left="-284"/>
        <w:rPr>
          <w:b/>
          <w:lang w:eastAsia="zh-CN"/>
        </w:rPr>
      </w:pPr>
      <w:r>
        <w:rPr>
          <w:b/>
          <w:lang w:eastAsia="zh-CN"/>
        </w:rPr>
        <w:t>Pro</w:t>
      </w:r>
      <w:r w:rsidR="00BE446D" w:rsidRPr="00A54DE8">
        <w:rPr>
          <w:b/>
          <w:lang w:eastAsia="zh-CN"/>
        </w:rPr>
        <w:t xml:space="preserve">posal </w:t>
      </w:r>
      <w:r>
        <w:rPr>
          <w:b/>
          <w:lang w:eastAsia="zh-CN"/>
        </w:rPr>
        <w:t>2</w:t>
      </w:r>
      <w:r w:rsidR="00A54DE8" w:rsidRPr="00A54DE8">
        <w:rPr>
          <w:b/>
          <w:lang w:eastAsia="zh-CN"/>
        </w:rPr>
        <w:t xml:space="preserve">: </w:t>
      </w:r>
      <w:r w:rsidR="002F6444">
        <w:rPr>
          <w:b/>
          <w:lang w:eastAsia="zh-CN"/>
        </w:rPr>
        <w:t>Improve the wording for the description of the issue and avoid using controversial words such as “same inter-band combination”, “inherit (from the lowest order combination)”.</w:t>
      </w:r>
    </w:p>
    <w:p w14:paraId="2FB213E7" w14:textId="29E2A4B4" w:rsidR="0053778B" w:rsidRDefault="009F3F44" w:rsidP="00D3083E">
      <w:pPr>
        <w:ind w:left="-284"/>
        <w:rPr>
          <w:lang w:eastAsia="zh-CN"/>
        </w:rPr>
      </w:pPr>
      <w:r>
        <w:rPr>
          <w:lang w:eastAsia="zh-CN"/>
        </w:rPr>
        <w:t>For</w:t>
      </w:r>
      <w:r w:rsidR="002F6444">
        <w:rPr>
          <w:lang w:eastAsia="zh-CN"/>
        </w:rPr>
        <w:t xml:space="preserve"> the </w:t>
      </w:r>
      <w:r>
        <w:rPr>
          <w:lang w:eastAsia="zh-CN"/>
        </w:rPr>
        <w:t xml:space="preserve">examples shown in the table, if n78C or n78(2A) is added to the DL band, no additional MSD analysis is required since n78 is a TDD band. If n1(2A) is added to the DL band, new MSD analysis/requirements may be needed for PC2 on </w:t>
      </w:r>
      <w:r>
        <w:rPr>
          <w:lang w:eastAsia="zh-CN"/>
        </w:rPr>
        <w:lastRenderedPageBreak/>
        <w:t>n1 UL since it’s an FDD band. Actually, there’s another dedicated HPUE WI covers the evaluation of FDD intra-band CA with PC2 single-carrier UL.</w:t>
      </w:r>
    </w:p>
    <w:p w14:paraId="76D54D00" w14:textId="4129EE69" w:rsidR="009F3F44" w:rsidRDefault="009F3F44" w:rsidP="00D3083E">
      <w:pPr>
        <w:ind w:left="-284"/>
        <w:rPr>
          <w:b/>
          <w:lang w:eastAsia="zh-CN"/>
        </w:rPr>
      </w:pPr>
      <w:r w:rsidRPr="009F3F44">
        <w:rPr>
          <w:b/>
          <w:lang w:eastAsia="zh-CN"/>
        </w:rPr>
        <w:t xml:space="preserve">Proposal 3: When adding intra-band CA to a DL FDD band, new MSD analysis/requirements may be needed for PC2 FDD UL, unless the evaluation is already completed </w:t>
      </w:r>
      <w:r>
        <w:rPr>
          <w:b/>
          <w:lang w:eastAsia="zh-CN"/>
        </w:rPr>
        <w:t>by</w:t>
      </w:r>
      <w:r w:rsidRPr="009F3F44">
        <w:rPr>
          <w:b/>
          <w:lang w:eastAsia="zh-CN"/>
        </w:rPr>
        <w:t xml:space="preserve"> the other HPUE FDD basket WI.</w:t>
      </w:r>
    </w:p>
    <w:p w14:paraId="00AC0F22" w14:textId="74245918" w:rsidR="009F3F44" w:rsidRPr="009F3F44" w:rsidRDefault="009F3F44" w:rsidP="00D3083E">
      <w:pPr>
        <w:ind w:left="-284"/>
        <w:rPr>
          <w:b/>
          <w:lang w:eastAsia="zh-CN"/>
        </w:rPr>
      </w:pPr>
      <w:r>
        <w:rPr>
          <w:b/>
          <w:lang w:eastAsia="zh-CN"/>
        </w:rPr>
        <w:t xml:space="preserve">Proposal 4: </w:t>
      </w:r>
      <w:r w:rsidR="009321D4">
        <w:rPr>
          <w:b/>
          <w:lang w:eastAsia="zh-CN"/>
        </w:rPr>
        <w:t>Regarding the HPUE indications in the specifications, support to maintain the current approach of using Notes in the BC configuration tables.</w:t>
      </w:r>
    </w:p>
    <w:p w14:paraId="304AD3CA" w14:textId="77777777" w:rsidR="00D66EA2" w:rsidRPr="00C14CE5" w:rsidRDefault="005A0431" w:rsidP="0072166B">
      <w:pPr>
        <w:pStyle w:val="Heading1"/>
        <w:tabs>
          <w:tab w:val="num" w:pos="432"/>
        </w:tabs>
        <w:ind w:left="-284"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2AFFB33E" w14:textId="77777777" w:rsidR="0072166B" w:rsidRDefault="009501E7" w:rsidP="0072166B">
      <w:pPr>
        <w:ind w:left="-284"/>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our views on </w:t>
      </w:r>
      <w:r w:rsidR="0072166B">
        <w:rPr>
          <w:color w:val="000000" w:themeColor="text1"/>
          <w:lang w:val="en-US" w:eastAsia="zh-CN"/>
        </w:rPr>
        <w:t>HPUE indications in the specifications</w:t>
      </w:r>
      <w:r>
        <w:rPr>
          <w:color w:val="000000" w:themeColor="text1"/>
          <w:lang w:val="en-US" w:eastAsia="zh-CN"/>
        </w:rPr>
        <w:t xml:space="preserve">. </w:t>
      </w:r>
    </w:p>
    <w:p w14:paraId="5072CEB5" w14:textId="6894AEB8" w:rsidR="0072166B" w:rsidRPr="0072166B" w:rsidRDefault="0072166B" w:rsidP="0072166B">
      <w:pPr>
        <w:ind w:left="-284"/>
        <w:rPr>
          <w:color w:val="000000" w:themeColor="text1"/>
          <w:lang w:val="en-US" w:eastAsia="zh-CN"/>
        </w:rPr>
      </w:pPr>
      <w:r w:rsidRPr="005063D4">
        <w:rPr>
          <w:b/>
        </w:rPr>
        <w:t>Proposal 1: Support option 2 for HPUE indication for higher order inter-band DL BC.</w:t>
      </w:r>
    </w:p>
    <w:p w14:paraId="15823386" w14:textId="77777777" w:rsidR="00027832" w:rsidRDefault="00027832" w:rsidP="00027832">
      <w:pPr>
        <w:ind w:left="-284"/>
        <w:rPr>
          <w:b/>
          <w:lang w:eastAsia="zh-CN"/>
        </w:rPr>
      </w:pPr>
      <w:r>
        <w:rPr>
          <w:b/>
          <w:lang w:eastAsia="zh-CN"/>
        </w:rPr>
        <w:t>Observation 1: The description of the issue is not entirely clear. For example, “the same inter-band combination” is confusing, which may be revised to “the inter-band combinations consisting of the same DL bands”.</w:t>
      </w:r>
    </w:p>
    <w:p w14:paraId="250AB0BC" w14:textId="77777777" w:rsidR="0072166B" w:rsidRDefault="0072166B" w:rsidP="0072166B">
      <w:pPr>
        <w:ind w:left="-284"/>
        <w:rPr>
          <w:b/>
          <w:lang w:eastAsia="zh-CN"/>
        </w:rPr>
      </w:pPr>
      <w:r>
        <w:rPr>
          <w:b/>
          <w:lang w:eastAsia="zh-CN"/>
        </w:rPr>
        <w:t>Observation 2: As per RAN2’s principle of capability inheritance, a lower order BC may inherit capabilities from higher order parent BCs, but not the other way around.</w:t>
      </w:r>
    </w:p>
    <w:p w14:paraId="05C928F9" w14:textId="63B6751D" w:rsidR="009D199C" w:rsidRDefault="0072166B" w:rsidP="0072166B">
      <w:pPr>
        <w:ind w:left="-284"/>
        <w:rPr>
          <w:b/>
          <w:lang w:eastAsia="zh-CN"/>
        </w:rPr>
      </w:pPr>
      <w:r>
        <w:rPr>
          <w:b/>
          <w:lang w:eastAsia="zh-CN"/>
        </w:rPr>
        <w:t>Pro</w:t>
      </w:r>
      <w:r w:rsidRPr="00A54DE8">
        <w:rPr>
          <w:b/>
          <w:lang w:eastAsia="zh-CN"/>
        </w:rPr>
        <w:t xml:space="preserve">posal </w:t>
      </w:r>
      <w:r>
        <w:rPr>
          <w:b/>
          <w:lang w:eastAsia="zh-CN"/>
        </w:rPr>
        <w:t>2</w:t>
      </w:r>
      <w:r w:rsidRPr="00A54DE8">
        <w:rPr>
          <w:b/>
          <w:lang w:eastAsia="zh-CN"/>
        </w:rPr>
        <w:t xml:space="preserve">: </w:t>
      </w:r>
      <w:r>
        <w:rPr>
          <w:b/>
          <w:lang w:eastAsia="zh-CN"/>
        </w:rPr>
        <w:t>Improve the wording for the description of the issue and avoid using controversial words such as “same inter-band combination”, “inherit (from the lowest order combination)”.</w:t>
      </w:r>
    </w:p>
    <w:p w14:paraId="4CCCFD78" w14:textId="77777777" w:rsidR="0072166B" w:rsidRDefault="0072166B" w:rsidP="0072166B">
      <w:pPr>
        <w:ind w:left="-284"/>
        <w:rPr>
          <w:b/>
          <w:lang w:eastAsia="zh-CN"/>
        </w:rPr>
      </w:pPr>
      <w:r w:rsidRPr="009F3F44">
        <w:rPr>
          <w:b/>
          <w:lang w:eastAsia="zh-CN"/>
        </w:rPr>
        <w:t xml:space="preserve">Proposal 3: When adding intra-band CA to a DL FDD band, new MSD analysis/requirements may be needed for PC2 FDD UL, unless the evaluation is already completed </w:t>
      </w:r>
      <w:r>
        <w:rPr>
          <w:b/>
          <w:lang w:eastAsia="zh-CN"/>
        </w:rPr>
        <w:t>by</w:t>
      </w:r>
      <w:r w:rsidRPr="009F3F44">
        <w:rPr>
          <w:b/>
          <w:lang w:eastAsia="zh-CN"/>
        </w:rPr>
        <w:t xml:space="preserve"> the other HPUE FDD basket WI.</w:t>
      </w:r>
    </w:p>
    <w:p w14:paraId="69B7D756" w14:textId="6F24CEC4" w:rsidR="0072166B" w:rsidRPr="005F059A" w:rsidRDefault="0072166B" w:rsidP="0072166B">
      <w:pPr>
        <w:ind w:left="-284"/>
        <w:rPr>
          <w:b/>
          <w:color w:val="000000" w:themeColor="text1"/>
          <w:lang w:eastAsia="zh-CN"/>
        </w:rPr>
      </w:pPr>
      <w:r>
        <w:rPr>
          <w:b/>
          <w:lang w:eastAsia="zh-CN"/>
        </w:rPr>
        <w:t>Proposal 4: Regarding the HPUE indications in the specifications, support to maintain the current approach of using Notes in the BC configuration tables.</w:t>
      </w:r>
    </w:p>
    <w:p w14:paraId="124C4CD9" w14:textId="77777777" w:rsidR="00514F67" w:rsidRPr="00C14CE5" w:rsidRDefault="00514F67" w:rsidP="0072166B">
      <w:pPr>
        <w:pStyle w:val="Heading1"/>
        <w:tabs>
          <w:tab w:val="num" w:pos="432"/>
        </w:tabs>
        <w:ind w:left="-284" w:firstLine="0"/>
        <w:rPr>
          <w:rStyle w:val="Heading1Char1"/>
          <w:rFonts w:eastAsia="SimSun"/>
        </w:rPr>
      </w:pPr>
      <w:r w:rsidRPr="00C14CE5">
        <w:rPr>
          <w:rStyle w:val="Heading1Char1"/>
          <w:rFonts w:eastAsia="SimSun"/>
        </w:rPr>
        <w:t>References</w:t>
      </w:r>
    </w:p>
    <w:bookmarkEnd w:id="0"/>
    <w:bookmarkEnd w:id="1"/>
    <w:bookmarkEnd w:id="2"/>
    <w:bookmarkEnd w:id="3"/>
    <w:p w14:paraId="20D53BA2" w14:textId="588CCD11" w:rsidR="00447B52" w:rsidRDefault="00447B52" w:rsidP="0072166B">
      <w:pPr>
        <w:pStyle w:val="ListParagraph"/>
        <w:numPr>
          <w:ilvl w:val="0"/>
          <w:numId w:val="10"/>
        </w:numPr>
        <w:ind w:left="-284" w:firstLine="0"/>
        <w:rPr>
          <w:lang w:eastAsia="zh-CN"/>
        </w:rPr>
      </w:pPr>
      <w:r>
        <w:rPr>
          <w:lang w:eastAsia="zh-CN"/>
        </w:rPr>
        <w:t>R4-24038</w:t>
      </w:r>
      <w:r w:rsidR="00523918">
        <w:rPr>
          <w:lang w:eastAsia="zh-CN"/>
        </w:rPr>
        <w:t>84</w:t>
      </w:r>
      <w:r>
        <w:rPr>
          <w:lang w:eastAsia="zh-CN"/>
        </w:rPr>
        <w:t xml:space="preserve"> WF on PC2 </w:t>
      </w:r>
      <w:r w:rsidR="00523918">
        <w:rPr>
          <w:lang w:eastAsia="zh-CN"/>
        </w:rPr>
        <w:t>and PC1.5 indications in BC configuration tables, Apple</w:t>
      </w:r>
      <w:r>
        <w:rPr>
          <w:lang w:eastAsia="zh-CN"/>
        </w:rPr>
        <w:t>, RAN4#110</w:t>
      </w:r>
    </w:p>
    <w:p w14:paraId="1CBBBCD8" w14:textId="078AAC2C" w:rsidR="00B821FA" w:rsidRDefault="00B821FA" w:rsidP="005B35A3">
      <w:pPr>
        <w:pStyle w:val="ListParagraph"/>
        <w:ind w:left="-284"/>
        <w:rPr>
          <w:lang w:eastAsia="zh-CN"/>
        </w:rPr>
      </w:pPr>
      <w:bookmarkStart w:id="4" w:name="_GoBack"/>
      <w:bookmarkEnd w:id="4"/>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4"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7"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FAB0681"/>
    <w:multiLevelType w:val="hybridMultilevel"/>
    <w:tmpl w:val="ADD2BF78"/>
    <w:lvl w:ilvl="0" w:tplc="04090005">
      <w:start w:val="1"/>
      <w:numFmt w:val="bullet"/>
      <w:lvlText w:val=""/>
      <w:lvlJc w:val="left"/>
      <w:pPr>
        <w:ind w:left="360" w:hanging="360"/>
      </w:pPr>
      <w:rPr>
        <w:rFonts w:ascii="Wingdings" w:hAnsi="Wingdings" w:hint="default"/>
      </w:rPr>
    </w:lvl>
    <w:lvl w:ilvl="1" w:tplc="5F5E32B0">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18"/>
  </w:num>
  <w:num w:numId="4">
    <w:abstractNumId w:val="4"/>
  </w:num>
  <w:num w:numId="5">
    <w:abstractNumId w:val="2"/>
  </w:num>
  <w:num w:numId="6">
    <w:abstractNumId w:val="7"/>
  </w:num>
  <w:num w:numId="7">
    <w:abstractNumId w:val="1"/>
  </w:num>
  <w:num w:numId="8">
    <w:abstractNumId w:val="10"/>
  </w:num>
  <w:num w:numId="9">
    <w:abstractNumId w:val="14"/>
  </w:num>
  <w:num w:numId="10">
    <w:abstractNumId w:val="8"/>
  </w:num>
  <w:num w:numId="11">
    <w:abstractNumId w:val="17"/>
  </w:num>
  <w:num w:numId="12">
    <w:abstractNumId w:val="12"/>
  </w:num>
  <w:num w:numId="13">
    <w:abstractNumId w:val="0"/>
  </w:num>
  <w:num w:numId="14">
    <w:abstractNumId w:val="6"/>
  </w:num>
  <w:num w:numId="15">
    <w:abstractNumId w:val="16"/>
  </w:num>
  <w:num w:numId="16">
    <w:abstractNumId w:val="15"/>
  </w:num>
  <w:num w:numId="17">
    <w:abstractNumId w:val="5"/>
  </w:num>
  <w:num w:numId="18">
    <w:abstractNumId w:val="13"/>
  </w:num>
  <w:num w:numId="19">
    <w:abstractNumId w:val="3"/>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463"/>
    <w:rsid w:val="000259C9"/>
    <w:rsid w:val="00027393"/>
    <w:rsid w:val="000275FD"/>
    <w:rsid w:val="00027832"/>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B543A"/>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034C6"/>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072"/>
    <w:rsid w:val="00154BD3"/>
    <w:rsid w:val="00156D96"/>
    <w:rsid w:val="00157188"/>
    <w:rsid w:val="00157397"/>
    <w:rsid w:val="00157E0B"/>
    <w:rsid w:val="00163B46"/>
    <w:rsid w:val="00175ECD"/>
    <w:rsid w:val="001810B2"/>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581"/>
    <w:rsid w:val="002D5C9A"/>
    <w:rsid w:val="002E23B0"/>
    <w:rsid w:val="002E6109"/>
    <w:rsid w:val="002E628D"/>
    <w:rsid w:val="002F5FF2"/>
    <w:rsid w:val="002F6444"/>
    <w:rsid w:val="002F6E01"/>
    <w:rsid w:val="002F7055"/>
    <w:rsid w:val="002F71D9"/>
    <w:rsid w:val="00300C65"/>
    <w:rsid w:val="003021A0"/>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55EC"/>
    <w:rsid w:val="00336541"/>
    <w:rsid w:val="00341183"/>
    <w:rsid w:val="003416C3"/>
    <w:rsid w:val="00341CC3"/>
    <w:rsid w:val="0034428E"/>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05C"/>
    <w:rsid w:val="003A7CA5"/>
    <w:rsid w:val="003B0D5F"/>
    <w:rsid w:val="003B11E3"/>
    <w:rsid w:val="003B4B82"/>
    <w:rsid w:val="003B69CD"/>
    <w:rsid w:val="003B7A37"/>
    <w:rsid w:val="003C292E"/>
    <w:rsid w:val="003C2B33"/>
    <w:rsid w:val="003C2CA4"/>
    <w:rsid w:val="003C2FFE"/>
    <w:rsid w:val="003C4BD6"/>
    <w:rsid w:val="003C6794"/>
    <w:rsid w:val="003C6B33"/>
    <w:rsid w:val="003C6B78"/>
    <w:rsid w:val="003C74C4"/>
    <w:rsid w:val="003D0274"/>
    <w:rsid w:val="003D183C"/>
    <w:rsid w:val="003D2548"/>
    <w:rsid w:val="003D2863"/>
    <w:rsid w:val="003D58BC"/>
    <w:rsid w:val="003D6FE1"/>
    <w:rsid w:val="003E099A"/>
    <w:rsid w:val="003E4FD0"/>
    <w:rsid w:val="003F0459"/>
    <w:rsid w:val="003F192C"/>
    <w:rsid w:val="003F25BF"/>
    <w:rsid w:val="003F496D"/>
    <w:rsid w:val="00402438"/>
    <w:rsid w:val="0041121A"/>
    <w:rsid w:val="004166E0"/>
    <w:rsid w:val="00417233"/>
    <w:rsid w:val="00417699"/>
    <w:rsid w:val="004228BB"/>
    <w:rsid w:val="00422A26"/>
    <w:rsid w:val="00423476"/>
    <w:rsid w:val="0042453E"/>
    <w:rsid w:val="004262C6"/>
    <w:rsid w:val="00430E0D"/>
    <w:rsid w:val="00430F81"/>
    <w:rsid w:val="00431E3D"/>
    <w:rsid w:val="00436526"/>
    <w:rsid w:val="00436EA0"/>
    <w:rsid w:val="00440B78"/>
    <w:rsid w:val="0044170D"/>
    <w:rsid w:val="00442061"/>
    <w:rsid w:val="004423C7"/>
    <w:rsid w:val="00443B57"/>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063D4"/>
    <w:rsid w:val="005105C6"/>
    <w:rsid w:val="0051237D"/>
    <w:rsid w:val="0051340B"/>
    <w:rsid w:val="00513FC6"/>
    <w:rsid w:val="00514F67"/>
    <w:rsid w:val="00516EC9"/>
    <w:rsid w:val="005205EF"/>
    <w:rsid w:val="00520CA0"/>
    <w:rsid w:val="00523918"/>
    <w:rsid w:val="00531F9C"/>
    <w:rsid w:val="00532106"/>
    <w:rsid w:val="0053433A"/>
    <w:rsid w:val="00536D8C"/>
    <w:rsid w:val="0053778B"/>
    <w:rsid w:val="00537B86"/>
    <w:rsid w:val="00543F98"/>
    <w:rsid w:val="0054418D"/>
    <w:rsid w:val="00544613"/>
    <w:rsid w:val="00544B9E"/>
    <w:rsid w:val="00546EB2"/>
    <w:rsid w:val="005515C7"/>
    <w:rsid w:val="005543C5"/>
    <w:rsid w:val="0055485A"/>
    <w:rsid w:val="00554D7D"/>
    <w:rsid w:val="005560E7"/>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35A3"/>
    <w:rsid w:val="005B52AC"/>
    <w:rsid w:val="005B64A0"/>
    <w:rsid w:val="005B78BC"/>
    <w:rsid w:val="005C15C6"/>
    <w:rsid w:val="005C1B55"/>
    <w:rsid w:val="005C4DAF"/>
    <w:rsid w:val="005C4F1F"/>
    <w:rsid w:val="005C595A"/>
    <w:rsid w:val="005D53A4"/>
    <w:rsid w:val="005D6A1E"/>
    <w:rsid w:val="005E01E5"/>
    <w:rsid w:val="005E0A92"/>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5BEC"/>
    <w:rsid w:val="00627BD9"/>
    <w:rsid w:val="00627D0A"/>
    <w:rsid w:val="00627FE1"/>
    <w:rsid w:val="0063230B"/>
    <w:rsid w:val="0063504F"/>
    <w:rsid w:val="00635E7E"/>
    <w:rsid w:val="00641F2E"/>
    <w:rsid w:val="006440D1"/>
    <w:rsid w:val="00644DFB"/>
    <w:rsid w:val="00645D36"/>
    <w:rsid w:val="00645E45"/>
    <w:rsid w:val="00646403"/>
    <w:rsid w:val="006466F3"/>
    <w:rsid w:val="00650A3B"/>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3696"/>
    <w:rsid w:val="006D458F"/>
    <w:rsid w:val="006D48FD"/>
    <w:rsid w:val="006D5B1C"/>
    <w:rsid w:val="006D75D4"/>
    <w:rsid w:val="006D7E9E"/>
    <w:rsid w:val="006E0F84"/>
    <w:rsid w:val="006E16BF"/>
    <w:rsid w:val="006E1913"/>
    <w:rsid w:val="006E2890"/>
    <w:rsid w:val="006E2A48"/>
    <w:rsid w:val="006E4EEA"/>
    <w:rsid w:val="006E61B2"/>
    <w:rsid w:val="006F1CA3"/>
    <w:rsid w:val="006F5B48"/>
    <w:rsid w:val="00700848"/>
    <w:rsid w:val="007011A2"/>
    <w:rsid w:val="00711A8E"/>
    <w:rsid w:val="00713CE6"/>
    <w:rsid w:val="0071550F"/>
    <w:rsid w:val="00716643"/>
    <w:rsid w:val="007166FA"/>
    <w:rsid w:val="00720479"/>
    <w:rsid w:val="00720C0E"/>
    <w:rsid w:val="00721072"/>
    <w:rsid w:val="0072166B"/>
    <w:rsid w:val="007217D3"/>
    <w:rsid w:val="007223E0"/>
    <w:rsid w:val="00726E9F"/>
    <w:rsid w:val="00727D56"/>
    <w:rsid w:val="0073400E"/>
    <w:rsid w:val="00734368"/>
    <w:rsid w:val="007355F7"/>
    <w:rsid w:val="007356DE"/>
    <w:rsid w:val="00736216"/>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2163"/>
    <w:rsid w:val="007833FF"/>
    <w:rsid w:val="0078390C"/>
    <w:rsid w:val="0078412F"/>
    <w:rsid w:val="007861E6"/>
    <w:rsid w:val="00792827"/>
    <w:rsid w:val="007949EB"/>
    <w:rsid w:val="00795B9A"/>
    <w:rsid w:val="007963D3"/>
    <w:rsid w:val="0079771D"/>
    <w:rsid w:val="007979E8"/>
    <w:rsid w:val="007A53EF"/>
    <w:rsid w:val="007A565F"/>
    <w:rsid w:val="007A6D44"/>
    <w:rsid w:val="007B0864"/>
    <w:rsid w:val="007B26A7"/>
    <w:rsid w:val="007B2D98"/>
    <w:rsid w:val="007B6473"/>
    <w:rsid w:val="007B70FC"/>
    <w:rsid w:val="007B729A"/>
    <w:rsid w:val="007C2C93"/>
    <w:rsid w:val="007C67AF"/>
    <w:rsid w:val="007D0C01"/>
    <w:rsid w:val="007D20A4"/>
    <w:rsid w:val="007D6A7F"/>
    <w:rsid w:val="007E70BA"/>
    <w:rsid w:val="007F17D2"/>
    <w:rsid w:val="007F22B9"/>
    <w:rsid w:val="007F65B1"/>
    <w:rsid w:val="007F7DD8"/>
    <w:rsid w:val="00801F3D"/>
    <w:rsid w:val="008024A8"/>
    <w:rsid w:val="00802BCD"/>
    <w:rsid w:val="0080593F"/>
    <w:rsid w:val="008064CC"/>
    <w:rsid w:val="008112E7"/>
    <w:rsid w:val="00812511"/>
    <w:rsid w:val="00820B7D"/>
    <w:rsid w:val="00823FF2"/>
    <w:rsid w:val="008259F4"/>
    <w:rsid w:val="00826304"/>
    <w:rsid w:val="00826369"/>
    <w:rsid w:val="00831FE5"/>
    <w:rsid w:val="008327B0"/>
    <w:rsid w:val="00835A99"/>
    <w:rsid w:val="00835CD8"/>
    <w:rsid w:val="00836D6F"/>
    <w:rsid w:val="00840130"/>
    <w:rsid w:val="00842AE0"/>
    <w:rsid w:val="00843401"/>
    <w:rsid w:val="0085490E"/>
    <w:rsid w:val="008555AC"/>
    <w:rsid w:val="00856712"/>
    <w:rsid w:val="0085704B"/>
    <w:rsid w:val="0086032C"/>
    <w:rsid w:val="00861EBB"/>
    <w:rsid w:val="008625ED"/>
    <w:rsid w:val="0086508F"/>
    <w:rsid w:val="0086526E"/>
    <w:rsid w:val="00867EC5"/>
    <w:rsid w:val="00874047"/>
    <w:rsid w:val="00874750"/>
    <w:rsid w:val="008768E1"/>
    <w:rsid w:val="0088214A"/>
    <w:rsid w:val="00882BA1"/>
    <w:rsid w:val="008862C4"/>
    <w:rsid w:val="0088648D"/>
    <w:rsid w:val="008901AC"/>
    <w:rsid w:val="00892C17"/>
    <w:rsid w:val="00893D2F"/>
    <w:rsid w:val="00895A5B"/>
    <w:rsid w:val="0089654D"/>
    <w:rsid w:val="0089701D"/>
    <w:rsid w:val="008A04CE"/>
    <w:rsid w:val="008A20A2"/>
    <w:rsid w:val="008A5220"/>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21D4"/>
    <w:rsid w:val="00934C7C"/>
    <w:rsid w:val="00934EB2"/>
    <w:rsid w:val="00940F4F"/>
    <w:rsid w:val="009434D1"/>
    <w:rsid w:val="009446C0"/>
    <w:rsid w:val="00944A38"/>
    <w:rsid w:val="00945A8A"/>
    <w:rsid w:val="00947C41"/>
    <w:rsid w:val="009501E7"/>
    <w:rsid w:val="009533AD"/>
    <w:rsid w:val="00954DF5"/>
    <w:rsid w:val="0096145B"/>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954"/>
    <w:rsid w:val="009A7CFB"/>
    <w:rsid w:val="009B0655"/>
    <w:rsid w:val="009B2207"/>
    <w:rsid w:val="009B23B8"/>
    <w:rsid w:val="009B3102"/>
    <w:rsid w:val="009B3F8F"/>
    <w:rsid w:val="009B5865"/>
    <w:rsid w:val="009C2145"/>
    <w:rsid w:val="009C392C"/>
    <w:rsid w:val="009C6075"/>
    <w:rsid w:val="009C6411"/>
    <w:rsid w:val="009C71DC"/>
    <w:rsid w:val="009C7972"/>
    <w:rsid w:val="009C7B89"/>
    <w:rsid w:val="009D14E2"/>
    <w:rsid w:val="009D199C"/>
    <w:rsid w:val="009D2B34"/>
    <w:rsid w:val="009D316D"/>
    <w:rsid w:val="009D40A0"/>
    <w:rsid w:val="009D6F98"/>
    <w:rsid w:val="009E154A"/>
    <w:rsid w:val="009E41DD"/>
    <w:rsid w:val="009E57F5"/>
    <w:rsid w:val="009E7475"/>
    <w:rsid w:val="009F1C3A"/>
    <w:rsid w:val="009F263C"/>
    <w:rsid w:val="009F3F44"/>
    <w:rsid w:val="009F52D6"/>
    <w:rsid w:val="009F65F6"/>
    <w:rsid w:val="009F6981"/>
    <w:rsid w:val="00A009C0"/>
    <w:rsid w:val="00A011E7"/>
    <w:rsid w:val="00A060CD"/>
    <w:rsid w:val="00A06C24"/>
    <w:rsid w:val="00A10271"/>
    <w:rsid w:val="00A11167"/>
    <w:rsid w:val="00A1184F"/>
    <w:rsid w:val="00A163B0"/>
    <w:rsid w:val="00A20A86"/>
    <w:rsid w:val="00A21582"/>
    <w:rsid w:val="00A21E7D"/>
    <w:rsid w:val="00A233D8"/>
    <w:rsid w:val="00A23F88"/>
    <w:rsid w:val="00A24467"/>
    <w:rsid w:val="00A2570B"/>
    <w:rsid w:val="00A30487"/>
    <w:rsid w:val="00A310A3"/>
    <w:rsid w:val="00A3772D"/>
    <w:rsid w:val="00A40778"/>
    <w:rsid w:val="00A407DB"/>
    <w:rsid w:val="00A41F50"/>
    <w:rsid w:val="00A43A68"/>
    <w:rsid w:val="00A471D8"/>
    <w:rsid w:val="00A47786"/>
    <w:rsid w:val="00A527CE"/>
    <w:rsid w:val="00A53029"/>
    <w:rsid w:val="00A533A9"/>
    <w:rsid w:val="00A537A4"/>
    <w:rsid w:val="00A54DE8"/>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3E20"/>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07D"/>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0C87"/>
    <w:rsid w:val="00B21DE0"/>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7A4E"/>
    <w:rsid w:val="00B821FA"/>
    <w:rsid w:val="00B836EA"/>
    <w:rsid w:val="00B928A4"/>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446D"/>
    <w:rsid w:val="00BE5100"/>
    <w:rsid w:val="00BE598E"/>
    <w:rsid w:val="00BE59E5"/>
    <w:rsid w:val="00BE7B2B"/>
    <w:rsid w:val="00BF00DC"/>
    <w:rsid w:val="00BF0868"/>
    <w:rsid w:val="00BF4FD5"/>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4BB"/>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67DAE"/>
    <w:rsid w:val="00C7109A"/>
    <w:rsid w:val="00C714C3"/>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4E62"/>
    <w:rsid w:val="00CC57B7"/>
    <w:rsid w:val="00CC62C5"/>
    <w:rsid w:val="00CD1A80"/>
    <w:rsid w:val="00CD1F7B"/>
    <w:rsid w:val="00CD2ADE"/>
    <w:rsid w:val="00CD35D8"/>
    <w:rsid w:val="00CD5F34"/>
    <w:rsid w:val="00CD73B6"/>
    <w:rsid w:val="00CE0AC0"/>
    <w:rsid w:val="00CE0E41"/>
    <w:rsid w:val="00CE49DF"/>
    <w:rsid w:val="00CE51A4"/>
    <w:rsid w:val="00CE5D62"/>
    <w:rsid w:val="00CF0341"/>
    <w:rsid w:val="00CF5CB0"/>
    <w:rsid w:val="00CF69C2"/>
    <w:rsid w:val="00D0059C"/>
    <w:rsid w:val="00D0160A"/>
    <w:rsid w:val="00D04ED9"/>
    <w:rsid w:val="00D1056B"/>
    <w:rsid w:val="00D10FB1"/>
    <w:rsid w:val="00D11163"/>
    <w:rsid w:val="00D11389"/>
    <w:rsid w:val="00D157C2"/>
    <w:rsid w:val="00D17990"/>
    <w:rsid w:val="00D2127D"/>
    <w:rsid w:val="00D22F3B"/>
    <w:rsid w:val="00D24959"/>
    <w:rsid w:val="00D26198"/>
    <w:rsid w:val="00D3083E"/>
    <w:rsid w:val="00D31582"/>
    <w:rsid w:val="00D36102"/>
    <w:rsid w:val="00D36274"/>
    <w:rsid w:val="00D40CB2"/>
    <w:rsid w:val="00D43F80"/>
    <w:rsid w:val="00D44A64"/>
    <w:rsid w:val="00D44DCA"/>
    <w:rsid w:val="00D50799"/>
    <w:rsid w:val="00D5117A"/>
    <w:rsid w:val="00D553E9"/>
    <w:rsid w:val="00D55573"/>
    <w:rsid w:val="00D57497"/>
    <w:rsid w:val="00D621FD"/>
    <w:rsid w:val="00D62636"/>
    <w:rsid w:val="00D629AD"/>
    <w:rsid w:val="00D63455"/>
    <w:rsid w:val="00D655A8"/>
    <w:rsid w:val="00D65DC6"/>
    <w:rsid w:val="00D66EA2"/>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7CA3"/>
    <w:rsid w:val="00DA3B2F"/>
    <w:rsid w:val="00DA47C6"/>
    <w:rsid w:val="00DA5244"/>
    <w:rsid w:val="00DA686B"/>
    <w:rsid w:val="00DB03E1"/>
    <w:rsid w:val="00DB42CA"/>
    <w:rsid w:val="00DB4C8C"/>
    <w:rsid w:val="00DB51F9"/>
    <w:rsid w:val="00DC45BA"/>
    <w:rsid w:val="00DC7C14"/>
    <w:rsid w:val="00DD0D62"/>
    <w:rsid w:val="00DD18AD"/>
    <w:rsid w:val="00DE13AF"/>
    <w:rsid w:val="00DE3E24"/>
    <w:rsid w:val="00DE6996"/>
    <w:rsid w:val="00DE721D"/>
    <w:rsid w:val="00DE7D1B"/>
    <w:rsid w:val="00DF04CB"/>
    <w:rsid w:val="00DF1E53"/>
    <w:rsid w:val="00E00C13"/>
    <w:rsid w:val="00E016F6"/>
    <w:rsid w:val="00E02428"/>
    <w:rsid w:val="00E06987"/>
    <w:rsid w:val="00E10B52"/>
    <w:rsid w:val="00E11774"/>
    <w:rsid w:val="00E11AC2"/>
    <w:rsid w:val="00E12659"/>
    <w:rsid w:val="00E12E7B"/>
    <w:rsid w:val="00E131E4"/>
    <w:rsid w:val="00E176DD"/>
    <w:rsid w:val="00E17811"/>
    <w:rsid w:val="00E1790B"/>
    <w:rsid w:val="00E20439"/>
    <w:rsid w:val="00E207BC"/>
    <w:rsid w:val="00E210AB"/>
    <w:rsid w:val="00E215BB"/>
    <w:rsid w:val="00E22ACF"/>
    <w:rsid w:val="00E246FF"/>
    <w:rsid w:val="00E276F0"/>
    <w:rsid w:val="00E30603"/>
    <w:rsid w:val="00E30A5A"/>
    <w:rsid w:val="00E335A6"/>
    <w:rsid w:val="00E33B48"/>
    <w:rsid w:val="00E357E9"/>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9D0"/>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498C"/>
    <w:rsid w:val="00EE51DD"/>
    <w:rsid w:val="00EF0278"/>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142F"/>
    <w:rsid w:val="00F35612"/>
    <w:rsid w:val="00F37321"/>
    <w:rsid w:val="00F37E5A"/>
    <w:rsid w:val="00F41B54"/>
    <w:rsid w:val="00F502D0"/>
    <w:rsid w:val="00F50E21"/>
    <w:rsid w:val="00F517CB"/>
    <w:rsid w:val="00F5204A"/>
    <w:rsid w:val="00F53CD2"/>
    <w:rsid w:val="00F54C0B"/>
    <w:rsid w:val="00F553CA"/>
    <w:rsid w:val="00F5716A"/>
    <w:rsid w:val="00F57FD9"/>
    <w:rsid w:val="00F600ED"/>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822"/>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68"/>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7832"/>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7B606-64D9-464D-954C-6653AD725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3</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45</cp:revision>
  <dcterms:created xsi:type="dcterms:W3CDTF">2024-04-05T09:35:00Z</dcterms:created>
  <dcterms:modified xsi:type="dcterms:W3CDTF">2024-04-08T12:50:00Z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1712572199</vt:lpwstr>
  </property>
</Properties>
</file>